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7C21A7">
        <w:tblPrEx>
          <w:tblCellMar>
            <w:top w:w="0" w:type="dxa"/>
            <w:bottom w:w="0" w:type="dxa"/>
          </w:tblCellMar>
        </w:tblPrEx>
        <w:trPr>
          <w:tblCellSpacing w:w="60" w:type="dxa"/>
        </w:trPr>
        <w:tc>
          <w:tcPr>
            <w:tcW w:w="1200" w:type="pct"/>
            <w:shd w:val="clear" w:color="auto" w:fill="E7F0F9"/>
          </w:tcPr>
          <w:p w:rsidR="007C21A7" w:rsidRDefault="00E16C35">
            <w:pPr>
              <w:spacing w:after="0" w:line="240" w:lineRule="auto"/>
            </w:pPr>
            <w:r>
              <w:rPr>
                <w:b/>
              </w:rPr>
              <w:t>RKP broj</w:t>
            </w:r>
          </w:p>
        </w:tc>
        <w:tc>
          <w:tcPr>
            <w:tcW w:w="0" w:type="auto"/>
            <w:shd w:val="clear" w:color="auto" w:fill="E7F0F9"/>
          </w:tcPr>
          <w:p w:rsidR="007C21A7" w:rsidRDefault="00E16C35">
            <w:pPr>
              <w:spacing w:after="0" w:line="240" w:lineRule="auto"/>
            </w:pPr>
            <w:r>
              <w:t>10119</w:t>
            </w:r>
          </w:p>
        </w:tc>
      </w:tr>
      <w:tr w:rsidR="007C21A7">
        <w:tblPrEx>
          <w:tblCellMar>
            <w:top w:w="0" w:type="dxa"/>
            <w:bottom w:w="0" w:type="dxa"/>
          </w:tblCellMar>
        </w:tblPrEx>
        <w:trPr>
          <w:tblCellSpacing w:w="60" w:type="dxa"/>
        </w:trPr>
        <w:tc>
          <w:tcPr>
            <w:tcW w:w="1200" w:type="pct"/>
            <w:shd w:val="clear" w:color="auto" w:fill="E7F0F9"/>
          </w:tcPr>
          <w:p w:rsidR="007C21A7" w:rsidRDefault="00E16C35">
            <w:pPr>
              <w:spacing w:after="0" w:line="240" w:lineRule="auto"/>
            </w:pPr>
            <w:r>
              <w:rPr>
                <w:b/>
              </w:rPr>
              <w:t>Naziv obveznika</w:t>
            </w:r>
          </w:p>
        </w:tc>
        <w:tc>
          <w:tcPr>
            <w:tcW w:w="0" w:type="auto"/>
            <w:shd w:val="clear" w:color="auto" w:fill="E7F0F9"/>
          </w:tcPr>
          <w:p w:rsidR="007C21A7" w:rsidRDefault="00E16C35">
            <w:pPr>
              <w:spacing w:after="0" w:line="240" w:lineRule="auto"/>
            </w:pPr>
            <w:r>
              <w:t>OSNOVNA ŠKOLA  VLADIMIR NAZOR</w:t>
            </w:r>
          </w:p>
        </w:tc>
      </w:tr>
      <w:tr w:rsidR="007C21A7">
        <w:tblPrEx>
          <w:tblCellMar>
            <w:top w:w="0" w:type="dxa"/>
            <w:bottom w:w="0" w:type="dxa"/>
          </w:tblCellMar>
        </w:tblPrEx>
        <w:trPr>
          <w:tblCellSpacing w:w="60" w:type="dxa"/>
        </w:trPr>
        <w:tc>
          <w:tcPr>
            <w:tcW w:w="1200" w:type="pct"/>
            <w:shd w:val="clear" w:color="auto" w:fill="E7F0F9"/>
          </w:tcPr>
          <w:p w:rsidR="007C21A7" w:rsidRDefault="00E16C35">
            <w:pPr>
              <w:spacing w:after="0" w:line="240" w:lineRule="auto"/>
            </w:pPr>
            <w:r>
              <w:rPr>
                <w:b/>
              </w:rPr>
              <w:t>Razina</w:t>
            </w:r>
          </w:p>
        </w:tc>
        <w:tc>
          <w:tcPr>
            <w:tcW w:w="0" w:type="auto"/>
            <w:shd w:val="clear" w:color="auto" w:fill="E7F0F9"/>
          </w:tcPr>
          <w:p w:rsidR="007C21A7" w:rsidRDefault="00E16C35">
            <w:pPr>
              <w:spacing w:after="0" w:line="240" w:lineRule="auto"/>
            </w:pPr>
            <w:r>
              <w:t>31</w:t>
            </w:r>
          </w:p>
        </w:tc>
      </w:tr>
    </w:tbl>
    <w:p w:rsidR="007C21A7" w:rsidRDefault="00E16C35">
      <w:r>
        <w:br/>
      </w:r>
    </w:p>
    <w:p w:rsidR="007C21A7" w:rsidRDefault="00E16C35">
      <w:pPr>
        <w:spacing w:line="240" w:lineRule="auto"/>
        <w:jc w:val="center"/>
      </w:pPr>
      <w:r>
        <w:rPr>
          <w:b/>
          <w:sz w:val="28"/>
        </w:rPr>
        <w:t>BILJEŠKE UZ FINANCIJSKE IZVJEŠTAJE</w:t>
      </w:r>
    </w:p>
    <w:p w:rsidR="007C21A7" w:rsidRDefault="00E16C35">
      <w:pPr>
        <w:spacing w:line="240" w:lineRule="auto"/>
        <w:jc w:val="center"/>
      </w:pPr>
      <w:r>
        <w:rPr>
          <w:b/>
          <w:sz w:val="28"/>
        </w:rPr>
        <w:t>ZA RAZDOBLJE</w:t>
      </w:r>
    </w:p>
    <w:p w:rsidR="007C21A7" w:rsidRDefault="00E16C35">
      <w:pPr>
        <w:spacing w:line="240" w:lineRule="auto"/>
        <w:jc w:val="center"/>
      </w:pPr>
      <w:r>
        <w:rPr>
          <w:b/>
          <w:sz w:val="28"/>
        </w:rPr>
        <w:t>I - XII 2025.</w:t>
      </w:r>
    </w:p>
    <w:p w:rsidR="007C21A7" w:rsidRDefault="007C21A7"/>
    <w:p w:rsidR="007C21A7" w:rsidRDefault="00E16C35">
      <w:pPr>
        <w:keepNext/>
        <w:spacing w:line="240" w:lineRule="auto"/>
        <w:jc w:val="center"/>
      </w:pPr>
      <w:r>
        <w:rPr>
          <w:b/>
          <w:sz w:val="28"/>
        </w:rPr>
        <w:t>Izvještaj o prihodima i rashodima, primicima i izdacima</w:t>
      </w:r>
    </w:p>
    <w:p w:rsidR="007C21A7" w:rsidRDefault="00E16C35">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Ostvareno </w:t>
            </w:r>
            <w:r>
              <w:rPr>
                <w:b/>
                <w:sz w:val="18"/>
              </w:rPr>
              <w:t>u izvještajnom razdoblju prethodne godine</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6</w:t>
            </w:r>
          </w:p>
        </w:tc>
        <w:tc>
          <w:tcPr>
            <w:tcW w:w="3180" w:type="dxa"/>
            <w:tcMar>
              <w:top w:w="0" w:type="dxa"/>
              <w:bottom w:w="0" w:type="dxa"/>
            </w:tcMar>
            <w:vAlign w:val="center"/>
          </w:tcPr>
          <w:p w:rsidR="007C21A7" w:rsidRDefault="00E16C35">
            <w:pPr>
              <w:keepNext/>
              <w:keepLines/>
              <w:spacing w:after="0" w:line="240" w:lineRule="auto"/>
            </w:pPr>
            <w:r>
              <w:rPr>
                <w:sz w:val="18"/>
              </w:rPr>
              <w:t>PRIHODI POSLOVANJA (šifre 61+62+63+64+65+66+67+68)</w:t>
            </w:r>
          </w:p>
        </w:tc>
        <w:tc>
          <w:tcPr>
            <w:tcW w:w="700" w:type="dxa"/>
            <w:tcMar>
              <w:top w:w="0" w:type="dxa"/>
              <w:bottom w:w="0" w:type="dxa"/>
            </w:tcMar>
            <w:vAlign w:val="center"/>
          </w:tcPr>
          <w:p w:rsidR="007C21A7" w:rsidRDefault="00E16C35">
            <w:pPr>
              <w:keepNext/>
              <w:keepLines/>
              <w:spacing w:after="0" w:line="240" w:lineRule="auto"/>
            </w:pPr>
            <w:r>
              <w:rPr>
                <w:sz w:val="18"/>
              </w:rPr>
              <w:t>6</w:t>
            </w:r>
          </w:p>
        </w:tc>
        <w:tc>
          <w:tcPr>
            <w:tcW w:w="1860" w:type="dxa"/>
            <w:tcMar>
              <w:top w:w="0" w:type="dxa"/>
              <w:bottom w:w="0" w:type="dxa"/>
            </w:tcMar>
            <w:vAlign w:val="center"/>
          </w:tcPr>
          <w:p w:rsidR="007C21A7" w:rsidRDefault="00E16C35">
            <w:pPr>
              <w:keepNext/>
              <w:keepLines/>
              <w:spacing w:after="0" w:line="240" w:lineRule="auto"/>
              <w:jc w:val="right"/>
            </w:pPr>
            <w:r>
              <w:rPr>
                <w:sz w:val="18"/>
              </w:rPr>
              <w:t>924.476,81</w:t>
            </w:r>
          </w:p>
        </w:tc>
        <w:tc>
          <w:tcPr>
            <w:tcW w:w="1860" w:type="dxa"/>
            <w:tcMar>
              <w:top w:w="0" w:type="dxa"/>
              <w:bottom w:w="0" w:type="dxa"/>
            </w:tcMar>
            <w:vAlign w:val="center"/>
          </w:tcPr>
          <w:p w:rsidR="007C21A7" w:rsidRDefault="00E16C35">
            <w:pPr>
              <w:keepNext/>
              <w:keepLines/>
              <w:spacing w:after="0" w:line="240" w:lineRule="auto"/>
              <w:jc w:val="right"/>
            </w:pPr>
            <w:r>
              <w:rPr>
                <w:sz w:val="18"/>
              </w:rPr>
              <w:t>1.009.235,73</w:t>
            </w:r>
          </w:p>
        </w:tc>
        <w:tc>
          <w:tcPr>
            <w:tcW w:w="700" w:type="dxa"/>
            <w:tcMar>
              <w:top w:w="0" w:type="dxa"/>
              <w:bottom w:w="0" w:type="dxa"/>
            </w:tcMar>
            <w:vAlign w:val="center"/>
          </w:tcPr>
          <w:p w:rsidR="007C21A7" w:rsidRDefault="00E16C35">
            <w:pPr>
              <w:keepNext/>
              <w:keepLines/>
              <w:spacing w:after="0" w:line="240" w:lineRule="auto"/>
              <w:jc w:val="right"/>
            </w:pPr>
            <w:r>
              <w:rPr>
                <w:sz w:val="18"/>
              </w:rPr>
              <w:t>109,2</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3</w:t>
            </w:r>
          </w:p>
        </w:tc>
        <w:tc>
          <w:tcPr>
            <w:tcW w:w="3180" w:type="dxa"/>
            <w:tcMar>
              <w:top w:w="0" w:type="dxa"/>
              <w:bottom w:w="0" w:type="dxa"/>
            </w:tcMar>
            <w:vAlign w:val="center"/>
          </w:tcPr>
          <w:p w:rsidR="007C21A7" w:rsidRDefault="00E16C35">
            <w:pPr>
              <w:keepNext/>
              <w:keepLines/>
              <w:spacing w:after="0" w:line="240" w:lineRule="auto"/>
            </w:pPr>
            <w:r>
              <w:rPr>
                <w:sz w:val="18"/>
              </w:rPr>
              <w:t>RASHODI POSLOVANJA (šifre 31+32+34+35+36+37+38)</w:t>
            </w:r>
          </w:p>
        </w:tc>
        <w:tc>
          <w:tcPr>
            <w:tcW w:w="700" w:type="dxa"/>
            <w:tcMar>
              <w:top w:w="0" w:type="dxa"/>
              <w:bottom w:w="0" w:type="dxa"/>
            </w:tcMar>
            <w:vAlign w:val="center"/>
          </w:tcPr>
          <w:p w:rsidR="007C21A7" w:rsidRDefault="00E16C35">
            <w:pPr>
              <w:keepNext/>
              <w:keepLines/>
              <w:spacing w:after="0" w:line="240" w:lineRule="auto"/>
            </w:pPr>
            <w:r>
              <w:rPr>
                <w:sz w:val="18"/>
              </w:rPr>
              <w:t>3</w:t>
            </w:r>
          </w:p>
        </w:tc>
        <w:tc>
          <w:tcPr>
            <w:tcW w:w="1860" w:type="dxa"/>
            <w:tcMar>
              <w:top w:w="0" w:type="dxa"/>
              <w:bottom w:w="0" w:type="dxa"/>
            </w:tcMar>
            <w:vAlign w:val="center"/>
          </w:tcPr>
          <w:p w:rsidR="007C21A7" w:rsidRDefault="00E16C35">
            <w:pPr>
              <w:keepNext/>
              <w:keepLines/>
              <w:spacing w:after="0" w:line="240" w:lineRule="auto"/>
              <w:jc w:val="right"/>
            </w:pPr>
            <w:r>
              <w:rPr>
                <w:sz w:val="18"/>
              </w:rPr>
              <w:t>915.249,64</w:t>
            </w:r>
          </w:p>
        </w:tc>
        <w:tc>
          <w:tcPr>
            <w:tcW w:w="1860" w:type="dxa"/>
            <w:tcMar>
              <w:top w:w="0" w:type="dxa"/>
              <w:bottom w:w="0" w:type="dxa"/>
            </w:tcMar>
            <w:vAlign w:val="center"/>
          </w:tcPr>
          <w:p w:rsidR="007C21A7" w:rsidRDefault="00E16C35">
            <w:pPr>
              <w:keepNext/>
              <w:keepLines/>
              <w:spacing w:after="0" w:line="240" w:lineRule="auto"/>
              <w:jc w:val="right"/>
            </w:pPr>
            <w:r>
              <w:rPr>
                <w:sz w:val="18"/>
              </w:rPr>
              <w:t>1.096.455,54</w:t>
            </w:r>
          </w:p>
        </w:tc>
        <w:tc>
          <w:tcPr>
            <w:tcW w:w="700" w:type="dxa"/>
            <w:tcMar>
              <w:top w:w="0" w:type="dxa"/>
              <w:bottom w:w="0" w:type="dxa"/>
            </w:tcMar>
            <w:vAlign w:val="center"/>
          </w:tcPr>
          <w:p w:rsidR="007C21A7" w:rsidRDefault="00E16C35">
            <w:pPr>
              <w:keepNext/>
              <w:keepLines/>
              <w:spacing w:after="0" w:line="240" w:lineRule="auto"/>
              <w:jc w:val="right"/>
            </w:pPr>
            <w:r>
              <w:rPr>
                <w:sz w:val="18"/>
              </w:rPr>
              <w:t>119,8</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7C21A7">
            <w:pPr>
              <w:keepNext/>
              <w:keepLines/>
              <w:spacing w:after="0" w:line="240" w:lineRule="auto"/>
            </w:pPr>
          </w:p>
        </w:tc>
        <w:tc>
          <w:tcPr>
            <w:tcW w:w="3180" w:type="dxa"/>
            <w:tcMar>
              <w:top w:w="0" w:type="dxa"/>
              <w:bottom w:w="0" w:type="dxa"/>
            </w:tcMar>
            <w:vAlign w:val="center"/>
          </w:tcPr>
          <w:p w:rsidR="007C21A7" w:rsidRDefault="00E16C35">
            <w:pPr>
              <w:keepNext/>
              <w:keepLines/>
              <w:spacing w:after="0" w:line="240" w:lineRule="auto"/>
            </w:pPr>
            <w:r>
              <w:rPr>
                <w:b/>
                <w:sz w:val="18"/>
              </w:rPr>
              <w:t>MANJAK PRIHODA POSLOVANJA (šifre Z005-6)</w:t>
            </w:r>
          </w:p>
        </w:tc>
        <w:tc>
          <w:tcPr>
            <w:tcW w:w="700" w:type="dxa"/>
            <w:tcMar>
              <w:top w:w="0" w:type="dxa"/>
              <w:bottom w:w="0" w:type="dxa"/>
            </w:tcMar>
            <w:vAlign w:val="center"/>
          </w:tcPr>
          <w:p w:rsidR="007C21A7" w:rsidRDefault="00E16C35">
            <w:pPr>
              <w:keepNext/>
              <w:keepLines/>
              <w:spacing w:after="0" w:line="240" w:lineRule="auto"/>
            </w:pPr>
            <w:r>
              <w:rPr>
                <w:b/>
                <w:sz w:val="18"/>
              </w:rPr>
              <w:t>Y001</w:t>
            </w:r>
          </w:p>
        </w:tc>
        <w:tc>
          <w:tcPr>
            <w:tcW w:w="1860" w:type="dxa"/>
            <w:tcMar>
              <w:top w:w="0" w:type="dxa"/>
              <w:bottom w:w="0" w:type="dxa"/>
            </w:tcMar>
            <w:vAlign w:val="center"/>
          </w:tcPr>
          <w:p w:rsidR="007C21A7" w:rsidRDefault="00E16C35">
            <w:pPr>
              <w:keepNext/>
              <w:keepLines/>
              <w:spacing w:after="0" w:line="240" w:lineRule="auto"/>
              <w:jc w:val="right"/>
            </w:pPr>
            <w:r>
              <w:rPr>
                <w:b/>
                <w:sz w:val="18"/>
              </w:rPr>
              <w:t>0,00</w:t>
            </w:r>
          </w:p>
        </w:tc>
        <w:tc>
          <w:tcPr>
            <w:tcW w:w="1860" w:type="dxa"/>
            <w:tcMar>
              <w:top w:w="0" w:type="dxa"/>
              <w:bottom w:w="0" w:type="dxa"/>
            </w:tcMar>
            <w:vAlign w:val="center"/>
          </w:tcPr>
          <w:p w:rsidR="007C21A7" w:rsidRDefault="00E16C35">
            <w:pPr>
              <w:keepNext/>
              <w:keepLines/>
              <w:spacing w:after="0" w:line="240" w:lineRule="auto"/>
              <w:jc w:val="right"/>
            </w:pPr>
            <w:r>
              <w:rPr>
                <w:b/>
                <w:sz w:val="18"/>
              </w:rPr>
              <w:t>87.219,81</w:t>
            </w:r>
          </w:p>
        </w:tc>
        <w:tc>
          <w:tcPr>
            <w:tcW w:w="700" w:type="dxa"/>
            <w:tcMar>
              <w:top w:w="0" w:type="dxa"/>
              <w:bottom w:w="0" w:type="dxa"/>
            </w:tcMar>
            <w:vAlign w:val="center"/>
          </w:tcPr>
          <w:p w:rsidR="007C21A7" w:rsidRDefault="00E16C35">
            <w:pPr>
              <w:keepNext/>
              <w:keepLines/>
              <w:spacing w:after="0" w:line="240" w:lineRule="auto"/>
              <w:jc w:val="right"/>
            </w:pPr>
            <w:r>
              <w:rPr>
                <w:b/>
                <w:sz w:val="18"/>
              </w:rPr>
              <w:t>-</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7</w:t>
            </w:r>
          </w:p>
        </w:tc>
        <w:tc>
          <w:tcPr>
            <w:tcW w:w="3180" w:type="dxa"/>
            <w:tcMar>
              <w:top w:w="0" w:type="dxa"/>
              <w:bottom w:w="0" w:type="dxa"/>
            </w:tcMar>
            <w:vAlign w:val="center"/>
          </w:tcPr>
          <w:p w:rsidR="007C21A7" w:rsidRDefault="00E16C35">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7C21A7" w:rsidRDefault="00E16C35">
            <w:pPr>
              <w:keepNext/>
              <w:keepLines/>
              <w:spacing w:after="0" w:line="240" w:lineRule="auto"/>
            </w:pPr>
            <w:r>
              <w:rPr>
                <w:sz w:val="18"/>
              </w:rPr>
              <w:t>7</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700" w:type="dxa"/>
            <w:tcMar>
              <w:top w:w="0" w:type="dxa"/>
              <w:bottom w:w="0" w:type="dxa"/>
            </w:tcMar>
            <w:vAlign w:val="center"/>
          </w:tcPr>
          <w:p w:rsidR="007C21A7" w:rsidRDefault="00E16C35">
            <w:pPr>
              <w:keepNext/>
              <w:keepLines/>
              <w:spacing w:after="0" w:line="240" w:lineRule="auto"/>
              <w:jc w:val="right"/>
            </w:pPr>
            <w:r>
              <w:rPr>
                <w:sz w:val="18"/>
              </w:rPr>
              <w:t>-</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4</w:t>
            </w:r>
          </w:p>
        </w:tc>
        <w:tc>
          <w:tcPr>
            <w:tcW w:w="3180" w:type="dxa"/>
            <w:tcMar>
              <w:top w:w="0" w:type="dxa"/>
              <w:bottom w:w="0" w:type="dxa"/>
            </w:tcMar>
            <w:vAlign w:val="center"/>
          </w:tcPr>
          <w:p w:rsidR="007C21A7" w:rsidRDefault="00E16C35">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7C21A7" w:rsidRDefault="00E16C35">
            <w:pPr>
              <w:keepNext/>
              <w:keepLines/>
              <w:spacing w:after="0" w:line="240" w:lineRule="auto"/>
            </w:pPr>
            <w:r>
              <w:rPr>
                <w:sz w:val="18"/>
              </w:rPr>
              <w:t>4</w:t>
            </w:r>
          </w:p>
        </w:tc>
        <w:tc>
          <w:tcPr>
            <w:tcW w:w="1860" w:type="dxa"/>
            <w:tcMar>
              <w:top w:w="0" w:type="dxa"/>
              <w:bottom w:w="0" w:type="dxa"/>
            </w:tcMar>
            <w:vAlign w:val="center"/>
          </w:tcPr>
          <w:p w:rsidR="007C21A7" w:rsidRDefault="00E16C35">
            <w:pPr>
              <w:keepNext/>
              <w:keepLines/>
              <w:spacing w:after="0" w:line="240" w:lineRule="auto"/>
              <w:jc w:val="right"/>
            </w:pPr>
            <w:r>
              <w:rPr>
                <w:sz w:val="18"/>
              </w:rPr>
              <w:t>14.636,11</w:t>
            </w:r>
          </w:p>
        </w:tc>
        <w:tc>
          <w:tcPr>
            <w:tcW w:w="1860" w:type="dxa"/>
            <w:tcMar>
              <w:top w:w="0" w:type="dxa"/>
              <w:bottom w:w="0" w:type="dxa"/>
            </w:tcMar>
            <w:vAlign w:val="center"/>
          </w:tcPr>
          <w:p w:rsidR="007C21A7" w:rsidRDefault="00E16C35">
            <w:pPr>
              <w:keepNext/>
              <w:keepLines/>
              <w:spacing w:after="0" w:line="240" w:lineRule="auto"/>
              <w:jc w:val="right"/>
            </w:pPr>
            <w:r>
              <w:rPr>
                <w:sz w:val="18"/>
              </w:rPr>
              <w:t>17.543,47</w:t>
            </w:r>
          </w:p>
        </w:tc>
        <w:tc>
          <w:tcPr>
            <w:tcW w:w="700" w:type="dxa"/>
            <w:tcMar>
              <w:top w:w="0" w:type="dxa"/>
              <w:bottom w:w="0" w:type="dxa"/>
            </w:tcMar>
            <w:vAlign w:val="center"/>
          </w:tcPr>
          <w:p w:rsidR="007C21A7" w:rsidRDefault="00E16C35">
            <w:pPr>
              <w:keepNext/>
              <w:keepLines/>
              <w:spacing w:after="0" w:line="240" w:lineRule="auto"/>
              <w:jc w:val="right"/>
            </w:pPr>
            <w:r>
              <w:rPr>
                <w:sz w:val="18"/>
              </w:rPr>
              <w:t>119,9</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7C21A7">
            <w:pPr>
              <w:keepNext/>
              <w:keepLines/>
              <w:spacing w:after="0" w:line="240" w:lineRule="auto"/>
            </w:pPr>
          </w:p>
        </w:tc>
        <w:tc>
          <w:tcPr>
            <w:tcW w:w="3180" w:type="dxa"/>
            <w:tcMar>
              <w:top w:w="0" w:type="dxa"/>
              <w:bottom w:w="0" w:type="dxa"/>
            </w:tcMar>
            <w:vAlign w:val="center"/>
          </w:tcPr>
          <w:p w:rsidR="007C21A7" w:rsidRDefault="00E16C35">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7C21A7" w:rsidRDefault="00E16C35">
            <w:pPr>
              <w:keepNext/>
              <w:keepLines/>
              <w:spacing w:after="0" w:line="240" w:lineRule="auto"/>
            </w:pPr>
            <w:r>
              <w:rPr>
                <w:b/>
                <w:sz w:val="18"/>
              </w:rPr>
              <w:t>Y002</w:t>
            </w:r>
          </w:p>
        </w:tc>
        <w:tc>
          <w:tcPr>
            <w:tcW w:w="1860" w:type="dxa"/>
            <w:tcMar>
              <w:top w:w="0" w:type="dxa"/>
              <w:bottom w:w="0" w:type="dxa"/>
            </w:tcMar>
            <w:vAlign w:val="center"/>
          </w:tcPr>
          <w:p w:rsidR="007C21A7" w:rsidRDefault="00E16C35">
            <w:pPr>
              <w:keepNext/>
              <w:keepLines/>
              <w:spacing w:after="0" w:line="240" w:lineRule="auto"/>
              <w:jc w:val="right"/>
            </w:pPr>
            <w:r>
              <w:rPr>
                <w:b/>
                <w:sz w:val="18"/>
              </w:rPr>
              <w:t>14.636,11</w:t>
            </w:r>
          </w:p>
        </w:tc>
        <w:tc>
          <w:tcPr>
            <w:tcW w:w="1860" w:type="dxa"/>
            <w:tcMar>
              <w:top w:w="0" w:type="dxa"/>
              <w:bottom w:w="0" w:type="dxa"/>
            </w:tcMar>
            <w:vAlign w:val="center"/>
          </w:tcPr>
          <w:p w:rsidR="007C21A7" w:rsidRDefault="00E16C35">
            <w:pPr>
              <w:keepNext/>
              <w:keepLines/>
              <w:spacing w:after="0" w:line="240" w:lineRule="auto"/>
              <w:jc w:val="right"/>
            </w:pPr>
            <w:r>
              <w:rPr>
                <w:b/>
                <w:sz w:val="18"/>
              </w:rPr>
              <w:t>17.543,47</w:t>
            </w:r>
          </w:p>
        </w:tc>
        <w:tc>
          <w:tcPr>
            <w:tcW w:w="700" w:type="dxa"/>
            <w:tcMar>
              <w:top w:w="0" w:type="dxa"/>
              <w:bottom w:w="0" w:type="dxa"/>
            </w:tcMar>
            <w:vAlign w:val="center"/>
          </w:tcPr>
          <w:p w:rsidR="007C21A7" w:rsidRDefault="00E16C35">
            <w:pPr>
              <w:keepNext/>
              <w:keepLines/>
              <w:spacing w:after="0" w:line="240" w:lineRule="auto"/>
              <w:jc w:val="right"/>
            </w:pPr>
            <w:r>
              <w:rPr>
                <w:b/>
                <w:sz w:val="18"/>
              </w:rPr>
              <w:t>119,9</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8</w:t>
            </w:r>
          </w:p>
        </w:tc>
        <w:tc>
          <w:tcPr>
            <w:tcW w:w="3180" w:type="dxa"/>
            <w:tcMar>
              <w:top w:w="0" w:type="dxa"/>
              <w:bottom w:w="0" w:type="dxa"/>
            </w:tcMar>
            <w:vAlign w:val="center"/>
          </w:tcPr>
          <w:p w:rsidR="007C21A7" w:rsidRDefault="00E16C35">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7C21A7" w:rsidRDefault="00E16C35">
            <w:pPr>
              <w:keepNext/>
              <w:keepLines/>
              <w:spacing w:after="0" w:line="240" w:lineRule="auto"/>
            </w:pPr>
            <w:r>
              <w:rPr>
                <w:sz w:val="18"/>
              </w:rPr>
              <w:t>8</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700" w:type="dxa"/>
            <w:tcMar>
              <w:top w:w="0" w:type="dxa"/>
              <w:bottom w:w="0" w:type="dxa"/>
            </w:tcMar>
            <w:vAlign w:val="center"/>
          </w:tcPr>
          <w:p w:rsidR="007C21A7" w:rsidRDefault="00E16C35">
            <w:pPr>
              <w:keepNext/>
              <w:keepLines/>
              <w:spacing w:after="0" w:line="240" w:lineRule="auto"/>
              <w:jc w:val="right"/>
            </w:pPr>
            <w:r>
              <w:rPr>
                <w:sz w:val="18"/>
              </w:rPr>
              <w:t>-</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5</w:t>
            </w:r>
          </w:p>
        </w:tc>
        <w:tc>
          <w:tcPr>
            <w:tcW w:w="3180" w:type="dxa"/>
            <w:tcMar>
              <w:top w:w="0" w:type="dxa"/>
              <w:bottom w:w="0" w:type="dxa"/>
            </w:tcMar>
            <w:vAlign w:val="center"/>
          </w:tcPr>
          <w:p w:rsidR="007C21A7" w:rsidRDefault="00E16C35">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7C21A7" w:rsidRDefault="00E16C35">
            <w:pPr>
              <w:keepNext/>
              <w:keepLines/>
              <w:spacing w:after="0" w:line="240" w:lineRule="auto"/>
            </w:pPr>
            <w:r>
              <w:rPr>
                <w:sz w:val="18"/>
              </w:rPr>
              <w:t>5</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700" w:type="dxa"/>
            <w:tcMar>
              <w:top w:w="0" w:type="dxa"/>
              <w:bottom w:w="0" w:type="dxa"/>
            </w:tcMar>
            <w:vAlign w:val="center"/>
          </w:tcPr>
          <w:p w:rsidR="007C21A7" w:rsidRDefault="00E16C35">
            <w:pPr>
              <w:keepNext/>
              <w:keepLines/>
              <w:spacing w:after="0" w:line="240" w:lineRule="auto"/>
              <w:jc w:val="right"/>
            </w:pPr>
            <w:r>
              <w:rPr>
                <w:sz w:val="18"/>
              </w:rPr>
              <w:t>-</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7C21A7">
            <w:pPr>
              <w:keepNext/>
              <w:keepLines/>
              <w:spacing w:after="0" w:line="240" w:lineRule="auto"/>
            </w:pPr>
          </w:p>
        </w:tc>
        <w:tc>
          <w:tcPr>
            <w:tcW w:w="3180" w:type="dxa"/>
            <w:tcMar>
              <w:top w:w="0" w:type="dxa"/>
              <w:bottom w:w="0" w:type="dxa"/>
            </w:tcMar>
            <w:vAlign w:val="center"/>
          </w:tcPr>
          <w:p w:rsidR="007C21A7" w:rsidRDefault="00E16C35">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7C21A7" w:rsidRDefault="00E16C35">
            <w:pPr>
              <w:keepNext/>
              <w:keepLines/>
              <w:spacing w:after="0" w:line="240" w:lineRule="auto"/>
            </w:pPr>
            <w:r>
              <w:rPr>
                <w:b/>
                <w:sz w:val="18"/>
              </w:rPr>
              <w:t>X003, Y003</w:t>
            </w:r>
          </w:p>
        </w:tc>
        <w:tc>
          <w:tcPr>
            <w:tcW w:w="1860" w:type="dxa"/>
            <w:tcMar>
              <w:top w:w="0" w:type="dxa"/>
              <w:bottom w:w="0" w:type="dxa"/>
            </w:tcMar>
            <w:vAlign w:val="center"/>
          </w:tcPr>
          <w:p w:rsidR="007C21A7" w:rsidRDefault="00E16C35">
            <w:pPr>
              <w:keepNext/>
              <w:keepLines/>
              <w:spacing w:after="0" w:line="240" w:lineRule="auto"/>
              <w:jc w:val="right"/>
            </w:pPr>
            <w:r>
              <w:rPr>
                <w:b/>
                <w:sz w:val="18"/>
              </w:rPr>
              <w:t>0,00</w:t>
            </w:r>
          </w:p>
        </w:tc>
        <w:tc>
          <w:tcPr>
            <w:tcW w:w="1860" w:type="dxa"/>
            <w:tcMar>
              <w:top w:w="0" w:type="dxa"/>
              <w:bottom w:w="0" w:type="dxa"/>
            </w:tcMar>
            <w:vAlign w:val="center"/>
          </w:tcPr>
          <w:p w:rsidR="007C21A7" w:rsidRDefault="00E16C35">
            <w:pPr>
              <w:keepNext/>
              <w:keepLines/>
              <w:spacing w:after="0" w:line="240" w:lineRule="auto"/>
              <w:jc w:val="right"/>
            </w:pPr>
            <w:r>
              <w:rPr>
                <w:b/>
                <w:sz w:val="18"/>
              </w:rPr>
              <w:t>0,00</w:t>
            </w:r>
          </w:p>
        </w:tc>
        <w:tc>
          <w:tcPr>
            <w:tcW w:w="700" w:type="dxa"/>
            <w:tcMar>
              <w:top w:w="0" w:type="dxa"/>
              <w:bottom w:w="0" w:type="dxa"/>
            </w:tcMar>
            <w:vAlign w:val="center"/>
          </w:tcPr>
          <w:p w:rsidR="007C21A7" w:rsidRDefault="00E16C35">
            <w:pPr>
              <w:keepNext/>
              <w:keepLines/>
              <w:spacing w:after="0" w:line="240" w:lineRule="auto"/>
              <w:jc w:val="right"/>
            </w:pPr>
            <w:r>
              <w:rPr>
                <w:b/>
                <w:sz w:val="18"/>
              </w:rPr>
              <w:t>-</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7C21A7">
            <w:pPr>
              <w:keepNext/>
              <w:keepLines/>
              <w:spacing w:after="0" w:line="240" w:lineRule="auto"/>
            </w:pPr>
          </w:p>
        </w:tc>
        <w:tc>
          <w:tcPr>
            <w:tcW w:w="3180" w:type="dxa"/>
            <w:tcMar>
              <w:top w:w="0" w:type="dxa"/>
              <w:bottom w:w="0" w:type="dxa"/>
            </w:tcMar>
            <w:vAlign w:val="center"/>
          </w:tcPr>
          <w:p w:rsidR="007C21A7" w:rsidRDefault="00E16C35">
            <w:pPr>
              <w:keepNext/>
              <w:keepLines/>
              <w:spacing w:after="0" w:line="240" w:lineRule="auto"/>
            </w:pPr>
            <w:r>
              <w:rPr>
                <w:b/>
                <w:sz w:val="18"/>
              </w:rPr>
              <w:t>MANJAK PRIHODA I PRIMITAKA (šifre Y345-X678)</w:t>
            </w:r>
          </w:p>
        </w:tc>
        <w:tc>
          <w:tcPr>
            <w:tcW w:w="700" w:type="dxa"/>
            <w:tcMar>
              <w:top w:w="0" w:type="dxa"/>
              <w:bottom w:w="0" w:type="dxa"/>
            </w:tcMar>
            <w:vAlign w:val="center"/>
          </w:tcPr>
          <w:p w:rsidR="007C21A7" w:rsidRDefault="00E16C35">
            <w:pPr>
              <w:keepNext/>
              <w:keepLines/>
              <w:spacing w:after="0" w:line="240" w:lineRule="auto"/>
            </w:pPr>
            <w:r>
              <w:rPr>
                <w:b/>
                <w:sz w:val="18"/>
              </w:rPr>
              <w:t>Y005</w:t>
            </w:r>
          </w:p>
        </w:tc>
        <w:tc>
          <w:tcPr>
            <w:tcW w:w="1860" w:type="dxa"/>
            <w:tcMar>
              <w:top w:w="0" w:type="dxa"/>
              <w:bottom w:w="0" w:type="dxa"/>
            </w:tcMar>
            <w:vAlign w:val="center"/>
          </w:tcPr>
          <w:p w:rsidR="007C21A7" w:rsidRDefault="00E16C35">
            <w:pPr>
              <w:keepNext/>
              <w:keepLines/>
              <w:spacing w:after="0" w:line="240" w:lineRule="auto"/>
              <w:jc w:val="right"/>
            </w:pPr>
            <w:r>
              <w:rPr>
                <w:b/>
                <w:sz w:val="18"/>
              </w:rPr>
              <w:t>5.408,94</w:t>
            </w:r>
          </w:p>
        </w:tc>
        <w:tc>
          <w:tcPr>
            <w:tcW w:w="1860" w:type="dxa"/>
            <w:tcMar>
              <w:top w:w="0" w:type="dxa"/>
              <w:bottom w:w="0" w:type="dxa"/>
            </w:tcMar>
            <w:vAlign w:val="center"/>
          </w:tcPr>
          <w:p w:rsidR="007C21A7" w:rsidRDefault="00E16C35">
            <w:pPr>
              <w:keepNext/>
              <w:keepLines/>
              <w:spacing w:after="0" w:line="240" w:lineRule="auto"/>
              <w:jc w:val="right"/>
            </w:pPr>
            <w:r>
              <w:rPr>
                <w:b/>
                <w:sz w:val="18"/>
              </w:rPr>
              <w:t>104.763,28</w:t>
            </w:r>
          </w:p>
        </w:tc>
        <w:tc>
          <w:tcPr>
            <w:tcW w:w="700" w:type="dxa"/>
            <w:tcMar>
              <w:top w:w="0" w:type="dxa"/>
              <w:bottom w:w="0" w:type="dxa"/>
            </w:tcMar>
            <w:vAlign w:val="center"/>
          </w:tcPr>
          <w:p w:rsidR="007C21A7" w:rsidRDefault="00E16C35">
            <w:pPr>
              <w:keepNext/>
              <w:keepLines/>
              <w:spacing w:after="0" w:line="240" w:lineRule="auto"/>
              <w:jc w:val="right"/>
            </w:pPr>
            <w:r>
              <w:rPr>
                <w:b/>
                <w:sz w:val="18"/>
              </w:rPr>
              <w:t>1936,9</w:t>
            </w:r>
          </w:p>
        </w:tc>
      </w:tr>
    </w:tbl>
    <w:p w:rsidR="007C21A7" w:rsidRDefault="007C21A7">
      <w:pPr>
        <w:spacing w:after="0"/>
      </w:pPr>
    </w:p>
    <w:p w:rsidR="007C21A7" w:rsidRDefault="00E16C35">
      <w:r>
        <w:t xml:space="preserve">Škola je u tekućem izvještajnom razdoblju ostvarila ukupne prihode poslovanja u iznosu od 1.009.235,73 eura, dok je u istom izvještajnom razdoblju 2024. godine ostvarila ukupne prihode u iznosu od 924.476,81 euro. Najveći dio prihoda škola je ostvarila iz </w:t>
      </w:r>
      <w:r>
        <w:t>Državnog proračuna i to 924.639,08 eura, iz proračuna grada Otoka 12.002,19 eura, iz projekta ERASMUS+ 9.754,00 eura, vlastitih prihoda od najma dvorane i zakupa poljoprivrednog zemljišta u iznosu od 2.160,53 eura, tekućih donacija 6.909,77 eura te prihoda</w:t>
      </w:r>
      <w:r>
        <w:t xml:space="preserve"> iz nadležnog proračuna u iznosu od 51.988,71 euro. Navedene stavke prihoda u tekućem izvještajnom </w:t>
      </w:r>
      <w:r>
        <w:lastRenderedPageBreak/>
        <w:t>razdoblju bilježe povećanje u odnosu na prethodno razdoblje, posebno prihodi od tekućih donacija zbog ulaska škole u razne projekte. Ukupni rashodi poslovanj</w:t>
      </w:r>
      <w:r>
        <w:t>a u promatranom izvještajnom razdoblju iznose 1.096.455,54 eura dok su u istom razdoblju 2024. godine bili dosta manji i iznosili su 929.885,75 eura. Budući da je izmjenama i dopunama novog Pravilnika o proračunskom računovodstvu i Računskom planu podskupi</w:t>
      </w:r>
      <w:r>
        <w:t xml:space="preserve">na računa 193 Kontinuirani rashodi budućih razdoblja ukinuta s danom 1. siječnja 2025. godine, tekuće izvještajno razdoblje sadrži trinaest rashoda za plaće u odnosu na prethodno razdoblje koje je obuhvaćalo dvanaest rashoda. Promatrajući pojedine skupine </w:t>
      </w:r>
      <w:r>
        <w:t>rashoda uglavnom bilježe povećanje, a razlog tome je znatno povećanje cijena roba i usluga. Škola u tekućem izvještajnom razdoblju nema iskazanih prihoda od prodaje nefinancijske imovine, ali ima iskazane rashode za nabavu nefinancijske imovine u iznosu od</w:t>
      </w:r>
      <w:r>
        <w:t xml:space="preserve"> 17.543,47 eura. Također nema iskazane primitke i izdatke od financijske imovine. Na kraju izvještajnog razdoblja škola je ostvarila manjak prihoda i primitaka u iznosu od 104.763,28 eura koji će biti podmiren doznakom sredstava za plaću i druga materijaln</w:t>
      </w:r>
      <w:r>
        <w:t>a prava za prosinac 2025. godine, podmirenjem naknade zbog nezapošljavanja osoba s invaliditetom, naknade za e-tehničara, podmirenjem dospjelih obveza po računima i prenesenim viškom prihoda iz 2024. godine.</w:t>
      </w:r>
    </w:p>
    <w:p w:rsidR="007C21A7" w:rsidRDefault="00E16C35">
      <w:r>
        <w:br/>
      </w:r>
    </w:p>
    <w:p w:rsidR="007C21A7" w:rsidRDefault="00E16C35">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6381</w:t>
            </w:r>
          </w:p>
        </w:tc>
        <w:tc>
          <w:tcPr>
            <w:tcW w:w="3180" w:type="dxa"/>
            <w:tcMar>
              <w:top w:w="0" w:type="dxa"/>
              <w:bottom w:w="0" w:type="dxa"/>
            </w:tcMar>
            <w:vAlign w:val="center"/>
          </w:tcPr>
          <w:p w:rsidR="007C21A7" w:rsidRDefault="00E16C35">
            <w:pPr>
              <w:keepNext/>
              <w:keepLines/>
              <w:spacing w:after="0" w:line="240" w:lineRule="auto"/>
            </w:pPr>
            <w:r>
              <w:rPr>
                <w:sz w:val="18"/>
              </w:rPr>
              <w:t>Tekuće pomoći temeljem prijenosa EU sredstava</w:t>
            </w:r>
          </w:p>
        </w:tc>
        <w:tc>
          <w:tcPr>
            <w:tcW w:w="700" w:type="dxa"/>
            <w:tcMar>
              <w:top w:w="0" w:type="dxa"/>
              <w:bottom w:w="0" w:type="dxa"/>
            </w:tcMar>
            <w:vAlign w:val="center"/>
          </w:tcPr>
          <w:p w:rsidR="007C21A7" w:rsidRDefault="00E16C35">
            <w:pPr>
              <w:keepNext/>
              <w:keepLines/>
              <w:spacing w:after="0" w:line="240" w:lineRule="auto"/>
            </w:pPr>
            <w:r>
              <w:rPr>
                <w:sz w:val="18"/>
              </w:rPr>
              <w:t>6381</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1860" w:type="dxa"/>
            <w:tcMar>
              <w:top w:w="0" w:type="dxa"/>
              <w:bottom w:w="0" w:type="dxa"/>
            </w:tcMar>
            <w:vAlign w:val="center"/>
          </w:tcPr>
          <w:p w:rsidR="007C21A7" w:rsidRDefault="00E16C35">
            <w:pPr>
              <w:keepNext/>
              <w:keepLines/>
              <w:spacing w:after="0" w:line="240" w:lineRule="auto"/>
              <w:jc w:val="right"/>
            </w:pPr>
            <w:r>
              <w:rPr>
                <w:sz w:val="18"/>
              </w:rPr>
              <w:t>9.754,00</w:t>
            </w:r>
          </w:p>
        </w:tc>
        <w:tc>
          <w:tcPr>
            <w:tcW w:w="700" w:type="dxa"/>
            <w:tcMar>
              <w:top w:w="0" w:type="dxa"/>
              <w:bottom w:w="0" w:type="dxa"/>
            </w:tcMar>
            <w:vAlign w:val="center"/>
          </w:tcPr>
          <w:p w:rsidR="007C21A7" w:rsidRDefault="00E16C35">
            <w:pPr>
              <w:keepNext/>
              <w:keepLines/>
              <w:spacing w:after="0" w:line="240" w:lineRule="auto"/>
              <w:jc w:val="right"/>
            </w:pPr>
            <w:r>
              <w:rPr>
                <w:sz w:val="18"/>
              </w:rPr>
              <w:t>-</w:t>
            </w:r>
          </w:p>
        </w:tc>
      </w:tr>
    </w:tbl>
    <w:p w:rsidR="007C21A7" w:rsidRDefault="007C21A7">
      <w:pPr>
        <w:spacing w:after="0"/>
      </w:pPr>
    </w:p>
    <w:p w:rsidR="007C21A7" w:rsidRDefault="00E16C35">
      <w:r>
        <w:t>Škola je kao dio ERASMUS+ projekta po završnom izvješću prve godine projekta ostvarila prihod od 9.754,00 eura.</w:t>
      </w:r>
    </w:p>
    <w:p w:rsidR="007C21A7" w:rsidRDefault="007C21A7"/>
    <w:p w:rsidR="007C21A7" w:rsidRDefault="00E16C35">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tekuće</w:t>
            </w:r>
            <w:r>
              <w:rPr>
                <w:b/>
                <w:sz w:val="18"/>
              </w:rPr>
              <w:t xml:space="preserve"> godine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6526</w:t>
            </w:r>
          </w:p>
        </w:tc>
        <w:tc>
          <w:tcPr>
            <w:tcW w:w="3180" w:type="dxa"/>
            <w:tcMar>
              <w:top w:w="0" w:type="dxa"/>
              <w:bottom w:w="0" w:type="dxa"/>
            </w:tcMar>
            <w:vAlign w:val="center"/>
          </w:tcPr>
          <w:p w:rsidR="007C21A7" w:rsidRDefault="00E16C35">
            <w:pPr>
              <w:keepNext/>
              <w:keepLines/>
              <w:spacing w:after="0" w:line="240" w:lineRule="auto"/>
            </w:pPr>
            <w:r>
              <w:rPr>
                <w:sz w:val="18"/>
              </w:rPr>
              <w:t>Ostali nespomenuti prihodi</w:t>
            </w:r>
          </w:p>
        </w:tc>
        <w:tc>
          <w:tcPr>
            <w:tcW w:w="700" w:type="dxa"/>
            <w:tcMar>
              <w:top w:w="0" w:type="dxa"/>
              <w:bottom w:w="0" w:type="dxa"/>
            </w:tcMar>
            <w:vAlign w:val="center"/>
          </w:tcPr>
          <w:p w:rsidR="007C21A7" w:rsidRDefault="00E16C35">
            <w:pPr>
              <w:keepNext/>
              <w:keepLines/>
              <w:spacing w:after="0" w:line="240" w:lineRule="auto"/>
            </w:pPr>
            <w:r>
              <w:rPr>
                <w:sz w:val="18"/>
              </w:rPr>
              <w:t>6526</w:t>
            </w:r>
          </w:p>
        </w:tc>
        <w:tc>
          <w:tcPr>
            <w:tcW w:w="1860" w:type="dxa"/>
            <w:tcMar>
              <w:top w:w="0" w:type="dxa"/>
              <w:bottom w:w="0" w:type="dxa"/>
            </w:tcMar>
            <w:vAlign w:val="center"/>
          </w:tcPr>
          <w:p w:rsidR="007C21A7" w:rsidRDefault="00E16C35">
            <w:pPr>
              <w:keepNext/>
              <w:keepLines/>
              <w:spacing w:after="0" w:line="240" w:lineRule="auto"/>
              <w:jc w:val="right"/>
            </w:pPr>
            <w:r>
              <w:rPr>
                <w:sz w:val="18"/>
              </w:rPr>
              <w:t>3.027,49</w:t>
            </w:r>
          </w:p>
        </w:tc>
        <w:tc>
          <w:tcPr>
            <w:tcW w:w="1860" w:type="dxa"/>
            <w:tcMar>
              <w:top w:w="0" w:type="dxa"/>
              <w:bottom w:w="0" w:type="dxa"/>
            </w:tcMar>
            <w:vAlign w:val="center"/>
          </w:tcPr>
          <w:p w:rsidR="007C21A7" w:rsidRDefault="00E16C35">
            <w:pPr>
              <w:keepNext/>
              <w:keepLines/>
              <w:spacing w:after="0" w:line="240" w:lineRule="auto"/>
              <w:jc w:val="right"/>
            </w:pPr>
            <w:r>
              <w:rPr>
                <w:sz w:val="18"/>
              </w:rPr>
              <w:t>1.781,40</w:t>
            </w:r>
          </w:p>
        </w:tc>
        <w:tc>
          <w:tcPr>
            <w:tcW w:w="700" w:type="dxa"/>
            <w:tcMar>
              <w:top w:w="0" w:type="dxa"/>
              <w:bottom w:w="0" w:type="dxa"/>
            </w:tcMar>
            <w:vAlign w:val="center"/>
          </w:tcPr>
          <w:p w:rsidR="007C21A7" w:rsidRDefault="00E16C35">
            <w:pPr>
              <w:keepNext/>
              <w:keepLines/>
              <w:spacing w:after="0" w:line="240" w:lineRule="auto"/>
              <w:jc w:val="right"/>
            </w:pPr>
            <w:r>
              <w:rPr>
                <w:sz w:val="18"/>
              </w:rPr>
              <w:t>58,8</w:t>
            </w:r>
          </w:p>
        </w:tc>
      </w:tr>
    </w:tbl>
    <w:p w:rsidR="007C21A7" w:rsidRDefault="007C21A7">
      <w:pPr>
        <w:spacing w:after="0"/>
      </w:pPr>
    </w:p>
    <w:p w:rsidR="007C21A7" w:rsidRDefault="00E16C35">
      <w:r>
        <w:t>Smanjenje prihoda za 41,2% u odnosu na isto razdoblje prethodne godine u kojem je bilo više uplata roditelja za ekskurzije, predstave i slično.</w:t>
      </w:r>
    </w:p>
    <w:p w:rsidR="007C21A7" w:rsidRDefault="007C21A7"/>
    <w:p w:rsidR="007C21A7" w:rsidRDefault="00E16C35">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xml:space="preserve">. </w:t>
            </w:r>
            <w:r>
              <w:rPr>
                <w:b/>
                <w:sz w:val="18"/>
              </w:rPr>
              <w:t>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6631</w:t>
            </w:r>
          </w:p>
        </w:tc>
        <w:tc>
          <w:tcPr>
            <w:tcW w:w="3180" w:type="dxa"/>
            <w:tcMar>
              <w:top w:w="0" w:type="dxa"/>
              <w:bottom w:w="0" w:type="dxa"/>
            </w:tcMar>
            <w:vAlign w:val="center"/>
          </w:tcPr>
          <w:p w:rsidR="007C21A7" w:rsidRDefault="00E16C35">
            <w:pPr>
              <w:keepNext/>
              <w:keepLines/>
              <w:spacing w:after="0" w:line="240" w:lineRule="auto"/>
            </w:pPr>
            <w:r>
              <w:rPr>
                <w:sz w:val="18"/>
              </w:rPr>
              <w:t>Tekuće donacije</w:t>
            </w:r>
          </w:p>
        </w:tc>
        <w:tc>
          <w:tcPr>
            <w:tcW w:w="700" w:type="dxa"/>
            <w:tcMar>
              <w:top w:w="0" w:type="dxa"/>
              <w:bottom w:w="0" w:type="dxa"/>
            </w:tcMar>
            <w:vAlign w:val="center"/>
          </w:tcPr>
          <w:p w:rsidR="007C21A7" w:rsidRDefault="00E16C35">
            <w:pPr>
              <w:keepNext/>
              <w:keepLines/>
              <w:spacing w:after="0" w:line="240" w:lineRule="auto"/>
            </w:pPr>
            <w:r>
              <w:rPr>
                <w:sz w:val="18"/>
              </w:rPr>
              <w:t>6631</w:t>
            </w:r>
          </w:p>
        </w:tc>
        <w:tc>
          <w:tcPr>
            <w:tcW w:w="1860" w:type="dxa"/>
            <w:tcMar>
              <w:top w:w="0" w:type="dxa"/>
              <w:bottom w:w="0" w:type="dxa"/>
            </w:tcMar>
            <w:vAlign w:val="center"/>
          </w:tcPr>
          <w:p w:rsidR="007C21A7" w:rsidRDefault="00E16C35">
            <w:pPr>
              <w:keepNext/>
              <w:keepLines/>
              <w:spacing w:after="0" w:line="240" w:lineRule="auto"/>
              <w:jc w:val="right"/>
            </w:pPr>
            <w:r>
              <w:rPr>
                <w:sz w:val="18"/>
              </w:rPr>
              <w:t>294,24</w:t>
            </w:r>
          </w:p>
        </w:tc>
        <w:tc>
          <w:tcPr>
            <w:tcW w:w="1860" w:type="dxa"/>
            <w:tcMar>
              <w:top w:w="0" w:type="dxa"/>
              <w:bottom w:w="0" w:type="dxa"/>
            </w:tcMar>
            <w:vAlign w:val="center"/>
          </w:tcPr>
          <w:p w:rsidR="007C21A7" w:rsidRDefault="00E16C35">
            <w:pPr>
              <w:keepNext/>
              <w:keepLines/>
              <w:spacing w:after="0" w:line="240" w:lineRule="auto"/>
              <w:jc w:val="right"/>
            </w:pPr>
            <w:r>
              <w:rPr>
                <w:sz w:val="18"/>
              </w:rPr>
              <w:t>6.909,77</w:t>
            </w:r>
          </w:p>
        </w:tc>
        <w:tc>
          <w:tcPr>
            <w:tcW w:w="700" w:type="dxa"/>
            <w:tcMar>
              <w:top w:w="0" w:type="dxa"/>
              <w:bottom w:w="0" w:type="dxa"/>
            </w:tcMar>
            <w:vAlign w:val="center"/>
          </w:tcPr>
          <w:p w:rsidR="007C21A7" w:rsidRDefault="00E16C35">
            <w:pPr>
              <w:keepNext/>
              <w:keepLines/>
              <w:spacing w:after="0" w:line="240" w:lineRule="auto"/>
              <w:jc w:val="right"/>
            </w:pPr>
            <w:r>
              <w:rPr>
                <w:sz w:val="18"/>
              </w:rPr>
              <w:t>2348,3</w:t>
            </w:r>
          </w:p>
        </w:tc>
      </w:tr>
    </w:tbl>
    <w:p w:rsidR="007C21A7" w:rsidRDefault="007C21A7">
      <w:pPr>
        <w:spacing w:after="0"/>
      </w:pPr>
    </w:p>
    <w:p w:rsidR="007C21A7" w:rsidRDefault="00E16C35">
      <w:r>
        <w:t xml:space="preserve">Ulaskom škole u projekt "Škole hrabrosti - sveobuhvatan pristup zaštiti mentalnog zdravlja djece u Hrvatskoj" i Program "Činimo dobro Otiskom srca" - hrvatska inačica modula </w:t>
      </w:r>
      <w:proofErr w:type="spellStart"/>
      <w:r>
        <w:t>sCOOLFOOD</w:t>
      </w:r>
      <w:proofErr w:type="spellEnd"/>
      <w:r>
        <w:t>, u tekućem izvještajnom razdoblju primljena su određena sredstva u oblik</w:t>
      </w:r>
      <w:r>
        <w:t>u donacija za razliku od istog izvještajnog razdoblja 2024. godine kada nije bilo tih donacija.</w:t>
      </w:r>
    </w:p>
    <w:p w:rsidR="007C21A7" w:rsidRDefault="007C21A7"/>
    <w:p w:rsidR="007C21A7" w:rsidRDefault="00E16C35">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r>
              <w:rPr>
                <w:b/>
                <w:sz w:val="18"/>
              </w:rPr>
              <w:t>%)</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3213</w:t>
            </w:r>
          </w:p>
        </w:tc>
        <w:tc>
          <w:tcPr>
            <w:tcW w:w="3180" w:type="dxa"/>
            <w:tcMar>
              <w:top w:w="0" w:type="dxa"/>
              <w:bottom w:w="0" w:type="dxa"/>
            </w:tcMar>
            <w:vAlign w:val="center"/>
          </w:tcPr>
          <w:p w:rsidR="007C21A7" w:rsidRDefault="00E16C35">
            <w:pPr>
              <w:keepNext/>
              <w:keepLines/>
              <w:spacing w:after="0" w:line="240" w:lineRule="auto"/>
            </w:pPr>
            <w:r>
              <w:rPr>
                <w:sz w:val="18"/>
              </w:rPr>
              <w:t>Stručno usavršavanje zaposlenika</w:t>
            </w:r>
          </w:p>
        </w:tc>
        <w:tc>
          <w:tcPr>
            <w:tcW w:w="700" w:type="dxa"/>
            <w:tcMar>
              <w:top w:w="0" w:type="dxa"/>
              <w:bottom w:w="0" w:type="dxa"/>
            </w:tcMar>
            <w:vAlign w:val="center"/>
          </w:tcPr>
          <w:p w:rsidR="007C21A7" w:rsidRDefault="00E16C35">
            <w:pPr>
              <w:keepNext/>
              <w:keepLines/>
              <w:spacing w:after="0" w:line="240" w:lineRule="auto"/>
            </w:pPr>
            <w:r>
              <w:rPr>
                <w:sz w:val="18"/>
              </w:rPr>
              <w:t>3213</w:t>
            </w:r>
          </w:p>
        </w:tc>
        <w:tc>
          <w:tcPr>
            <w:tcW w:w="1860" w:type="dxa"/>
            <w:tcMar>
              <w:top w:w="0" w:type="dxa"/>
              <w:bottom w:w="0" w:type="dxa"/>
            </w:tcMar>
            <w:vAlign w:val="center"/>
          </w:tcPr>
          <w:p w:rsidR="007C21A7" w:rsidRDefault="00E16C35">
            <w:pPr>
              <w:keepNext/>
              <w:keepLines/>
              <w:spacing w:after="0" w:line="240" w:lineRule="auto"/>
              <w:jc w:val="right"/>
            </w:pPr>
            <w:r>
              <w:rPr>
                <w:sz w:val="18"/>
              </w:rPr>
              <w:t>377,50</w:t>
            </w:r>
          </w:p>
        </w:tc>
        <w:tc>
          <w:tcPr>
            <w:tcW w:w="1860" w:type="dxa"/>
            <w:tcMar>
              <w:top w:w="0" w:type="dxa"/>
              <w:bottom w:w="0" w:type="dxa"/>
            </w:tcMar>
            <w:vAlign w:val="center"/>
          </w:tcPr>
          <w:p w:rsidR="007C21A7" w:rsidRDefault="00E16C35">
            <w:pPr>
              <w:keepNext/>
              <w:keepLines/>
              <w:spacing w:after="0" w:line="240" w:lineRule="auto"/>
              <w:jc w:val="right"/>
            </w:pPr>
            <w:r>
              <w:rPr>
                <w:sz w:val="18"/>
              </w:rPr>
              <w:t>827,45</w:t>
            </w:r>
          </w:p>
        </w:tc>
        <w:tc>
          <w:tcPr>
            <w:tcW w:w="700" w:type="dxa"/>
            <w:tcMar>
              <w:top w:w="0" w:type="dxa"/>
              <w:bottom w:w="0" w:type="dxa"/>
            </w:tcMar>
            <w:vAlign w:val="center"/>
          </w:tcPr>
          <w:p w:rsidR="007C21A7" w:rsidRDefault="00E16C35">
            <w:pPr>
              <w:keepNext/>
              <w:keepLines/>
              <w:spacing w:after="0" w:line="240" w:lineRule="auto"/>
              <w:jc w:val="right"/>
            </w:pPr>
            <w:r>
              <w:rPr>
                <w:sz w:val="18"/>
              </w:rPr>
              <w:t>219,2</w:t>
            </w:r>
          </w:p>
        </w:tc>
      </w:tr>
    </w:tbl>
    <w:p w:rsidR="007C21A7" w:rsidRDefault="007C21A7">
      <w:pPr>
        <w:spacing w:after="0"/>
      </w:pPr>
    </w:p>
    <w:p w:rsidR="007C21A7" w:rsidRDefault="00E16C35">
      <w:r>
        <w:t>Ulaskom u razne projekte izdvajaju se veća sredstva za stručno usavršavanje zaposlenika.</w:t>
      </w:r>
    </w:p>
    <w:p w:rsidR="007C21A7" w:rsidRDefault="007C21A7"/>
    <w:p w:rsidR="007C21A7" w:rsidRDefault="00E16C35">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Ostvareno u izvještajnom razdoblju prethodne </w:t>
            </w:r>
            <w:r>
              <w:rPr>
                <w:b/>
                <w:sz w:val="18"/>
              </w:rPr>
              <w:t>godine</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3225</w:t>
            </w:r>
          </w:p>
        </w:tc>
        <w:tc>
          <w:tcPr>
            <w:tcW w:w="3180" w:type="dxa"/>
            <w:tcMar>
              <w:top w:w="0" w:type="dxa"/>
              <w:bottom w:w="0" w:type="dxa"/>
            </w:tcMar>
            <w:vAlign w:val="center"/>
          </w:tcPr>
          <w:p w:rsidR="007C21A7" w:rsidRDefault="00E16C35">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7C21A7" w:rsidRDefault="00E16C35">
            <w:pPr>
              <w:keepNext/>
              <w:keepLines/>
              <w:spacing w:after="0" w:line="240" w:lineRule="auto"/>
            </w:pPr>
            <w:r>
              <w:rPr>
                <w:sz w:val="18"/>
              </w:rPr>
              <w:t>3225</w:t>
            </w:r>
          </w:p>
        </w:tc>
        <w:tc>
          <w:tcPr>
            <w:tcW w:w="1860" w:type="dxa"/>
            <w:tcMar>
              <w:top w:w="0" w:type="dxa"/>
              <w:bottom w:w="0" w:type="dxa"/>
            </w:tcMar>
            <w:vAlign w:val="center"/>
          </w:tcPr>
          <w:p w:rsidR="007C21A7" w:rsidRDefault="00E16C35">
            <w:pPr>
              <w:keepNext/>
              <w:keepLines/>
              <w:spacing w:after="0" w:line="240" w:lineRule="auto"/>
              <w:jc w:val="right"/>
            </w:pPr>
            <w:r>
              <w:rPr>
                <w:sz w:val="18"/>
              </w:rPr>
              <w:t>12.037,65</w:t>
            </w:r>
          </w:p>
        </w:tc>
        <w:tc>
          <w:tcPr>
            <w:tcW w:w="1860" w:type="dxa"/>
            <w:tcMar>
              <w:top w:w="0" w:type="dxa"/>
              <w:bottom w:w="0" w:type="dxa"/>
            </w:tcMar>
            <w:vAlign w:val="center"/>
          </w:tcPr>
          <w:p w:rsidR="007C21A7" w:rsidRDefault="00E16C35">
            <w:pPr>
              <w:keepNext/>
              <w:keepLines/>
              <w:spacing w:after="0" w:line="240" w:lineRule="auto"/>
              <w:jc w:val="right"/>
            </w:pPr>
            <w:r>
              <w:rPr>
                <w:sz w:val="18"/>
              </w:rPr>
              <w:t>5.798,26</w:t>
            </w:r>
          </w:p>
        </w:tc>
        <w:tc>
          <w:tcPr>
            <w:tcW w:w="700" w:type="dxa"/>
            <w:tcMar>
              <w:top w:w="0" w:type="dxa"/>
              <w:bottom w:w="0" w:type="dxa"/>
            </w:tcMar>
            <w:vAlign w:val="center"/>
          </w:tcPr>
          <w:p w:rsidR="007C21A7" w:rsidRDefault="00E16C35">
            <w:pPr>
              <w:keepNext/>
              <w:keepLines/>
              <w:spacing w:after="0" w:line="240" w:lineRule="auto"/>
              <w:jc w:val="right"/>
            </w:pPr>
            <w:r>
              <w:rPr>
                <w:sz w:val="18"/>
              </w:rPr>
              <w:t>48,2</w:t>
            </w:r>
          </w:p>
        </w:tc>
      </w:tr>
    </w:tbl>
    <w:p w:rsidR="007C21A7" w:rsidRDefault="007C21A7">
      <w:pPr>
        <w:spacing w:after="0"/>
      </w:pPr>
    </w:p>
    <w:p w:rsidR="007C21A7" w:rsidRDefault="00E16C35">
      <w:r>
        <w:t xml:space="preserve">Ulaskom škole u Eksperimentalni program CDŠ, u sklopu izvannastavnih aktivnosti B1, došlo je do nabave raznih sredstava (edukacijski robot, mikroskop, police, </w:t>
      </w:r>
      <w:proofErr w:type="spellStart"/>
      <w:r>
        <w:t>štapni</w:t>
      </w:r>
      <w:proofErr w:type="spellEnd"/>
      <w:r>
        <w:t xml:space="preserve"> usisavač, stroj za plastificiranje, razna glazbena pomagala i sl.). Navedena sredstva znač</w:t>
      </w:r>
      <w:r>
        <w:t>ajno povećavaju stavku sitnog inventara u tekućem izvještajnom razdoblju.</w:t>
      </w:r>
    </w:p>
    <w:p w:rsidR="007C21A7" w:rsidRDefault="007C21A7"/>
    <w:p w:rsidR="007C21A7" w:rsidRDefault="00E16C35">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3239</w:t>
            </w:r>
          </w:p>
        </w:tc>
        <w:tc>
          <w:tcPr>
            <w:tcW w:w="3180" w:type="dxa"/>
            <w:tcMar>
              <w:top w:w="0" w:type="dxa"/>
              <w:bottom w:w="0" w:type="dxa"/>
            </w:tcMar>
            <w:vAlign w:val="center"/>
          </w:tcPr>
          <w:p w:rsidR="007C21A7" w:rsidRDefault="00E16C35">
            <w:pPr>
              <w:keepNext/>
              <w:keepLines/>
              <w:spacing w:after="0" w:line="240" w:lineRule="auto"/>
            </w:pPr>
            <w:r>
              <w:rPr>
                <w:sz w:val="18"/>
              </w:rPr>
              <w:t>Ostale usluge</w:t>
            </w:r>
          </w:p>
        </w:tc>
        <w:tc>
          <w:tcPr>
            <w:tcW w:w="700" w:type="dxa"/>
            <w:tcMar>
              <w:top w:w="0" w:type="dxa"/>
              <w:bottom w:w="0" w:type="dxa"/>
            </w:tcMar>
            <w:vAlign w:val="center"/>
          </w:tcPr>
          <w:p w:rsidR="007C21A7" w:rsidRDefault="00E16C35">
            <w:pPr>
              <w:keepNext/>
              <w:keepLines/>
              <w:spacing w:after="0" w:line="240" w:lineRule="auto"/>
            </w:pPr>
            <w:r>
              <w:rPr>
                <w:sz w:val="18"/>
              </w:rPr>
              <w:t>3239</w:t>
            </w:r>
          </w:p>
        </w:tc>
        <w:tc>
          <w:tcPr>
            <w:tcW w:w="1860" w:type="dxa"/>
            <w:tcMar>
              <w:top w:w="0" w:type="dxa"/>
              <w:bottom w:w="0" w:type="dxa"/>
            </w:tcMar>
            <w:vAlign w:val="center"/>
          </w:tcPr>
          <w:p w:rsidR="007C21A7" w:rsidRDefault="00E16C35">
            <w:pPr>
              <w:keepNext/>
              <w:keepLines/>
              <w:spacing w:after="0" w:line="240" w:lineRule="auto"/>
              <w:jc w:val="right"/>
            </w:pPr>
            <w:r>
              <w:rPr>
                <w:sz w:val="18"/>
              </w:rPr>
              <w:t>6.538,00</w:t>
            </w:r>
          </w:p>
        </w:tc>
        <w:tc>
          <w:tcPr>
            <w:tcW w:w="1860" w:type="dxa"/>
            <w:tcMar>
              <w:top w:w="0" w:type="dxa"/>
              <w:bottom w:w="0" w:type="dxa"/>
            </w:tcMar>
            <w:vAlign w:val="center"/>
          </w:tcPr>
          <w:p w:rsidR="007C21A7" w:rsidRDefault="00E16C35">
            <w:pPr>
              <w:keepNext/>
              <w:keepLines/>
              <w:spacing w:after="0" w:line="240" w:lineRule="auto"/>
              <w:jc w:val="right"/>
            </w:pPr>
            <w:r>
              <w:rPr>
                <w:sz w:val="18"/>
              </w:rPr>
              <w:t>33.366,52</w:t>
            </w:r>
          </w:p>
        </w:tc>
        <w:tc>
          <w:tcPr>
            <w:tcW w:w="700" w:type="dxa"/>
            <w:tcMar>
              <w:top w:w="0" w:type="dxa"/>
              <w:bottom w:w="0" w:type="dxa"/>
            </w:tcMar>
            <w:vAlign w:val="center"/>
          </w:tcPr>
          <w:p w:rsidR="007C21A7" w:rsidRDefault="00E16C35">
            <w:pPr>
              <w:keepNext/>
              <w:keepLines/>
              <w:spacing w:after="0" w:line="240" w:lineRule="auto"/>
              <w:jc w:val="right"/>
            </w:pPr>
            <w:r>
              <w:rPr>
                <w:sz w:val="18"/>
              </w:rPr>
              <w:t>510,3</w:t>
            </w:r>
          </w:p>
        </w:tc>
      </w:tr>
    </w:tbl>
    <w:p w:rsidR="007C21A7" w:rsidRDefault="007C21A7">
      <w:pPr>
        <w:spacing w:after="0"/>
      </w:pPr>
    </w:p>
    <w:p w:rsidR="007C21A7" w:rsidRDefault="00E16C35">
      <w:r>
        <w:t>Ulaskom škole u program cjelodnevne škole, kao dio programa tijekom cijele školske godine održavaju se određene izvanškolske aktivnosti B2, koje se nalaze na navedenoj stavci rashoda. Do značajnog povećanja stavke, osim zbog usluga održavanja B2 aktivnosti</w:t>
      </w:r>
      <w:r>
        <w:t xml:space="preserve"> dolazi i zbog drugih usluga u sklopu različitih projekata.</w:t>
      </w:r>
    </w:p>
    <w:p w:rsidR="007C21A7" w:rsidRDefault="007C21A7"/>
    <w:p w:rsidR="007C21A7" w:rsidRDefault="00E16C35">
      <w:pPr>
        <w:keepNext/>
        <w:spacing w:line="240" w:lineRule="auto"/>
        <w:jc w:val="center"/>
      </w:pPr>
      <w:r>
        <w:rPr>
          <w:b/>
          <w:sz w:val="28"/>
        </w:rPr>
        <w:t>Bilanca</w:t>
      </w:r>
    </w:p>
    <w:p w:rsidR="007C21A7" w:rsidRDefault="00E16C35">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16</w:t>
            </w:r>
          </w:p>
        </w:tc>
        <w:tc>
          <w:tcPr>
            <w:tcW w:w="3180" w:type="dxa"/>
            <w:tcMar>
              <w:top w:w="0" w:type="dxa"/>
              <w:bottom w:w="0" w:type="dxa"/>
            </w:tcMar>
            <w:vAlign w:val="center"/>
          </w:tcPr>
          <w:p w:rsidR="007C21A7" w:rsidRDefault="00E16C35">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7C21A7" w:rsidRDefault="00E16C35">
            <w:pPr>
              <w:keepNext/>
              <w:keepLines/>
              <w:spacing w:after="0" w:line="240" w:lineRule="auto"/>
            </w:pPr>
            <w:r>
              <w:rPr>
                <w:sz w:val="18"/>
              </w:rPr>
              <w:t>16</w:t>
            </w:r>
          </w:p>
        </w:tc>
        <w:tc>
          <w:tcPr>
            <w:tcW w:w="1860" w:type="dxa"/>
            <w:tcMar>
              <w:top w:w="0" w:type="dxa"/>
              <w:bottom w:w="0" w:type="dxa"/>
            </w:tcMar>
            <w:vAlign w:val="center"/>
          </w:tcPr>
          <w:p w:rsidR="007C21A7" w:rsidRDefault="00E16C35">
            <w:pPr>
              <w:keepNext/>
              <w:keepLines/>
              <w:spacing w:after="0" w:line="240" w:lineRule="auto"/>
              <w:jc w:val="right"/>
            </w:pPr>
            <w:r>
              <w:rPr>
                <w:sz w:val="18"/>
              </w:rPr>
              <w:t>42.495,27</w:t>
            </w:r>
          </w:p>
        </w:tc>
        <w:tc>
          <w:tcPr>
            <w:tcW w:w="1860" w:type="dxa"/>
            <w:tcMar>
              <w:top w:w="0" w:type="dxa"/>
              <w:bottom w:w="0" w:type="dxa"/>
            </w:tcMar>
            <w:vAlign w:val="center"/>
          </w:tcPr>
          <w:p w:rsidR="007C21A7" w:rsidRDefault="00E16C35">
            <w:pPr>
              <w:keepNext/>
              <w:keepLines/>
              <w:spacing w:after="0" w:line="240" w:lineRule="auto"/>
              <w:jc w:val="right"/>
            </w:pPr>
            <w:r>
              <w:rPr>
                <w:sz w:val="18"/>
              </w:rPr>
              <w:t>126.144,80</w:t>
            </w:r>
          </w:p>
        </w:tc>
        <w:tc>
          <w:tcPr>
            <w:tcW w:w="700" w:type="dxa"/>
            <w:tcMar>
              <w:top w:w="0" w:type="dxa"/>
              <w:bottom w:w="0" w:type="dxa"/>
            </w:tcMar>
            <w:vAlign w:val="center"/>
          </w:tcPr>
          <w:p w:rsidR="007C21A7" w:rsidRDefault="00E16C35">
            <w:pPr>
              <w:keepNext/>
              <w:keepLines/>
              <w:spacing w:after="0" w:line="240" w:lineRule="auto"/>
              <w:jc w:val="right"/>
            </w:pPr>
            <w:r>
              <w:rPr>
                <w:sz w:val="18"/>
              </w:rPr>
              <w:t>296,8</w:t>
            </w:r>
          </w:p>
        </w:tc>
      </w:tr>
    </w:tbl>
    <w:p w:rsidR="007C21A7" w:rsidRDefault="007C21A7">
      <w:pPr>
        <w:spacing w:after="0"/>
      </w:pPr>
    </w:p>
    <w:p w:rsidR="007C21A7" w:rsidRDefault="00E16C35">
      <w:r>
        <w:t xml:space="preserve">Prema novom Pravilniku treba se osigurati paralelno knjiženje na način da svaki prihod koji se priznaje (osim prihoda od osnivača i prihoda od donacija) mora prethodno imati evidentirano potraživanje na 16. U tekućem izvještajnom razdoblju evidentirano je </w:t>
      </w:r>
      <w:r>
        <w:t>potraživanje za plaću i druga materijalna prava te ERASMUS+ projekt, čiji prihod će biti evidentiran u 2026. godini.</w:t>
      </w:r>
    </w:p>
    <w:p w:rsidR="007C21A7" w:rsidRDefault="007C21A7"/>
    <w:p w:rsidR="007C21A7" w:rsidRDefault="00E16C35">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193</w:t>
            </w:r>
          </w:p>
        </w:tc>
        <w:tc>
          <w:tcPr>
            <w:tcW w:w="3180" w:type="dxa"/>
            <w:tcMar>
              <w:top w:w="0" w:type="dxa"/>
              <w:bottom w:w="0" w:type="dxa"/>
            </w:tcMar>
            <w:vAlign w:val="center"/>
          </w:tcPr>
          <w:p w:rsidR="007C21A7" w:rsidRDefault="00E16C35">
            <w:pPr>
              <w:keepNext/>
              <w:keepLines/>
              <w:spacing w:after="0" w:line="240" w:lineRule="auto"/>
            </w:pPr>
            <w:r>
              <w:rPr>
                <w:sz w:val="18"/>
              </w:rPr>
              <w:t xml:space="preserve">Kontinuirani rashodi budućih </w:t>
            </w:r>
            <w:r>
              <w:rPr>
                <w:sz w:val="18"/>
              </w:rPr>
              <w:t>razdoblja</w:t>
            </w:r>
          </w:p>
        </w:tc>
        <w:tc>
          <w:tcPr>
            <w:tcW w:w="700" w:type="dxa"/>
            <w:tcMar>
              <w:top w:w="0" w:type="dxa"/>
              <w:bottom w:w="0" w:type="dxa"/>
            </w:tcMar>
            <w:vAlign w:val="center"/>
          </w:tcPr>
          <w:p w:rsidR="007C21A7" w:rsidRDefault="00E16C35">
            <w:pPr>
              <w:keepNext/>
              <w:keepLines/>
              <w:spacing w:after="0" w:line="240" w:lineRule="auto"/>
            </w:pPr>
            <w:r>
              <w:rPr>
                <w:sz w:val="18"/>
              </w:rPr>
              <w:t>193</w:t>
            </w:r>
          </w:p>
        </w:tc>
        <w:tc>
          <w:tcPr>
            <w:tcW w:w="1860" w:type="dxa"/>
            <w:tcMar>
              <w:top w:w="0" w:type="dxa"/>
              <w:bottom w:w="0" w:type="dxa"/>
            </w:tcMar>
            <w:vAlign w:val="center"/>
          </w:tcPr>
          <w:p w:rsidR="007C21A7" w:rsidRDefault="00E16C35">
            <w:pPr>
              <w:keepNext/>
              <w:keepLines/>
              <w:spacing w:after="0" w:line="240" w:lineRule="auto"/>
              <w:jc w:val="right"/>
            </w:pPr>
            <w:r>
              <w:rPr>
                <w:sz w:val="18"/>
              </w:rPr>
              <w:t>68.289,28</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700" w:type="dxa"/>
            <w:tcMar>
              <w:top w:w="0" w:type="dxa"/>
              <w:bottom w:w="0" w:type="dxa"/>
            </w:tcMar>
            <w:vAlign w:val="center"/>
          </w:tcPr>
          <w:p w:rsidR="007C21A7" w:rsidRDefault="00E16C35">
            <w:pPr>
              <w:keepNext/>
              <w:keepLines/>
              <w:spacing w:after="0" w:line="240" w:lineRule="auto"/>
              <w:jc w:val="right"/>
            </w:pPr>
            <w:r>
              <w:rPr>
                <w:sz w:val="18"/>
              </w:rPr>
              <w:t>0</w:t>
            </w:r>
          </w:p>
        </w:tc>
      </w:tr>
    </w:tbl>
    <w:p w:rsidR="007C21A7" w:rsidRDefault="007C21A7">
      <w:pPr>
        <w:spacing w:after="0"/>
      </w:pPr>
    </w:p>
    <w:p w:rsidR="007C21A7" w:rsidRDefault="00E16C35">
      <w:r>
        <w:t>Novi Pravilnik o proračunskom računovodstvu i Računskom planu objavljen je u Narodnim novinama broj 158/2023., a u Narodnim novinama 154 od 30.12.2024. godine objavljen je Pravilnik o izmjenama i dopunama Pravilnika o proračunskom računovodstvu i Računskom</w:t>
      </w:r>
      <w:r>
        <w:t xml:space="preserve"> planu. Tim Pravilnikom propisano je da se podskupina računa 193 Kontinuirani rashodi budućih razdoblja ukida s danom 1. siječnja 2025. godine te da se kontinuirani rashodi budućih razdoblja prenose na odgovarajuće račune razreda 3 Rashodi poslovanja.</w:t>
      </w:r>
    </w:p>
    <w:p w:rsidR="007C21A7" w:rsidRDefault="007C21A7"/>
    <w:p w:rsidR="007C21A7" w:rsidRDefault="00E16C35">
      <w:pPr>
        <w:keepNext/>
        <w:spacing w:line="240" w:lineRule="auto"/>
        <w:jc w:val="center"/>
      </w:pPr>
      <w:r>
        <w:rPr>
          <w:sz w:val="28"/>
        </w:rPr>
        <w:t>Bil</w:t>
      </w:r>
      <w:r>
        <w:rPr>
          <w:sz w:val="28"/>
        </w:rPr>
        <w:t>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27</w:t>
            </w:r>
          </w:p>
        </w:tc>
        <w:tc>
          <w:tcPr>
            <w:tcW w:w="3180" w:type="dxa"/>
            <w:tcMar>
              <w:top w:w="0" w:type="dxa"/>
              <w:bottom w:w="0" w:type="dxa"/>
            </w:tcMar>
            <w:vAlign w:val="center"/>
          </w:tcPr>
          <w:p w:rsidR="007C21A7" w:rsidRDefault="00E16C35">
            <w:pPr>
              <w:keepNext/>
              <w:keepLines/>
              <w:spacing w:after="0" w:line="240" w:lineRule="auto"/>
            </w:pPr>
            <w:r>
              <w:rPr>
                <w:sz w:val="18"/>
              </w:rPr>
              <w:t xml:space="preserve">Obveze za 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rsidR="007C21A7" w:rsidRDefault="00E16C35">
            <w:pPr>
              <w:keepNext/>
              <w:keepLines/>
              <w:spacing w:after="0" w:line="240" w:lineRule="auto"/>
            </w:pPr>
            <w:r>
              <w:rPr>
                <w:sz w:val="18"/>
              </w:rPr>
              <w:t>27</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1860" w:type="dxa"/>
            <w:tcMar>
              <w:top w:w="0" w:type="dxa"/>
              <w:bottom w:w="0" w:type="dxa"/>
            </w:tcMar>
            <w:vAlign w:val="center"/>
          </w:tcPr>
          <w:p w:rsidR="007C21A7" w:rsidRDefault="00E16C35">
            <w:pPr>
              <w:keepNext/>
              <w:keepLines/>
              <w:spacing w:after="0" w:line="240" w:lineRule="auto"/>
              <w:jc w:val="right"/>
            </w:pPr>
            <w:r>
              <w:rPr>
                <w:sz w:val="18"/>
              </w:rPr>
              <w:t>34.159,20</w:t>
            </w:r>
          </w:p>
        </w:tc>
        <w:tc>
          <w:tcPr>
            <w:tcW w:w="700" w:type="dxa"/>
            <w:tcMar>
              <w:top w:w="0" w:type="dxa"/>
              <w:bottom w:w="0" w:type="dxa"/>
            </w:tcMar>
            <w:vAlign w:val="center"/>
          </w:tcPr>
          <w:p w:rsidR="007C21A7" w:rsidRDefault="00E16C35">
            <w:pPr>
              <w:keepNext/>
              <w:keepLines/>
              <w:spacing w:after="0" w:line="240" w:lineRule="auto"/>
              <w:jc w:val="right"/>
            </w:pPr>
            <w:r>
              <w:rPr>
                <w:sz w:val="18"/>
              </w:rPr>
              <w:t>-</w:t>
            </w:r>
          </w:p>
        </w:tc>
      </w:tr>
    </w:tbl>
    <w:p w:rsidR="007C21A7" w:rsidRDefault="007C21A7">
      <w:pPr>
        <w:spacing w:after="0"/>
      </w:pPr>
    </w:p>
    <w:p w:rsidR="007C21A7" w:rsidRDefault="00E16C35">
      <w:r>
        <w:t>U promatranom izvještajnom razdoblju škola ulazi u drugu godinu ERASMUS+ projekta. Shodno propisanim odredbama, u slučajevima kada se u EU projektu ERASMUS+ uplati predujam, ne priznaje se prihod već se evidentira na obvezi za EU predujmove dane iz državno</w:t>
      </w:r>
      <w:r>
        <w:t>g proračuna na osnovnom računu 27521.</w:t>
      </w:r>
    </w:p>
    <w:p w:rsidR="007C21A7" w:rsidRDefault="007C21A7"/>
    <w:p w:rsidR="007C21A7" w:rsidRDefault="00E16C35">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922</w:t>
            </w:r>
          </w:p>
        </w:tc>
        <w:tc>
          <w:tcPr>
            <w:tcW w:w="3180" w:type="dxa"/>
            <w:tcMar>
              <w:top w:w="0" w:type="dxa"/>
              <w:bottom w:w="0" w:type="dxa"/>
            </w:tcMar>
            <w:vAlign w:val="center"/>
          </w:tcPr>
          <w:p w:rsidR="007C21A7" w:rsidRDefault="00E16C35">
            <w:pPr>
              <w:keepNext/>
              <w:keepLines/>
              <w:spacing w:after="0" w:line="240" w:lineRule="auto"/>
            </w:pPr>
            <w:r>
              <w:rPr>
                <w:sz w:val="18"/>
              </w:rPr>
              <w:t>Rezultat - višak/manjak (šifre 9221-9222)</w:t>
            </w:r>
          </w:p>
        </w:tc>
        <w:tc>
          <w:tcPr>
            <w:tcW w:w="700" w:type="dxa"/>
            <w:tcMar>
              <w:top w:w="0" w:type="dxa"/>
              <w:bottom w:w="0" w:type="dxa"/>
            </w:tcMar>
            <w:vAlign w:val="center"/>
          </w:tcPr>
          <w:p w:rsidR="007C21A7" w:rsidRDefault="00E16C35">
            <w:pPr>
              <w:keepNext/>
              <w:keepLines/>
              <w:spacing w:after="0" w:line="240" w:lineRule="auto"/>
            </w:pPr>
            <w:r>
              <w:rPr>
                <w:sz w:val="18"/>
              </w:rPr>
              <w:t>922</w:t>
            </w:r>
          </w:p>
        </w:tc>
        <w:tc>
          <w:tcPr>
            <w:tcW w:w="1860" w:type="dxa"/>
            <w:tcMar>
              <w:top w:w="0" w:type="dxa"/>
              <w:bottom w:w="0" w:type="dxa"/>
            </w:tcMar>
            <w:vAlign w:val="center"/>
          </w:tcPr>
          <w:p w:rsidR="007C21A7" w:rsidRDefault="00E16C35">
            <w:pPr>
              <w:keepNext/>
              <w:keepLines/>
              <w:spacing w:after="0" w:line="240" w:lineRule="auto"/>
              <w:jc w:val="right"/>
            </w:pPr>
            <w:r>
              <w:rPr>
                <w:sz w:val="18"/>
              </w:rPr>
              <w:t>37.348,44</w:t>
            </w:r>
          </w:p>
        </w:tc>
        <w:tc>
          <w:tcPr>
            <w:tcW w:w="1860" w:type="dxa"/>
            <w:tcMar>
              <w:top w:w="0" w:type="dxa"/>
              <w:bottom w:w="0" w:type="dxa"/>
            </w:tcMar>
            <w:vAlign w:val="center"/>
          </w:tcPr>
          <w:p w:rsidR="007C21A7" w:rsidRDefault="00E16C35">
            <w:pPr>
              <w:keepNext/>
              <w:keepLines/>
              <w:spacing w:after="0" w:line="240" w:lineRule="auto"/>
              <w:jc w:val="right"/>
            </w:pPr>
            <w:r>
              <w:rPr>
                <w:sz w:val="18"/>
              </w:rPr>
              <w:t>-67.414,84</w:t>
            </w:r>
          </w:p>
        </w:tc>
        <w:tc>
          <w:tcPr>
            <w:tcW w:w="700" w:type="dxa"/>
            <w:tcMar>
              <w:top w:w="0" w:type="dxa"/>
              <w:bottom w:w="0" w:type="dxa"/>
            </w:tcMar>
            <w:vAlign w:val="center"/>
          </w:tcPr>
          <w:p w:rsidR="007C21A7" w:rsidRDefault="00E16C35">
            <w:pPr>
              <w:keepNext/>
              <w:keepLines/>
              <w:spacing w:after="0" w:line="240" w:lineRule="auto"/>
              <w:jc w:val="right"/>
            </w:pPr>
            <w:r>
              <w:rPr>
                <w:sz w:val="18"/>
              </w:rPr>
              <w:t>-180,5</w:t>
            </w:r>
          </w:p>
        </w:tc>
      </w:tr>
    </w:tbl>
    <w:p w:rsidR="007C21A7" w:rsidRDefault="007C21A7">
      <w:pPr>
        <w:spacing w:after="0"/>
      </w:pPr>
    </w:p>
    <w:p w:rsidR="007C21A7" w:rsidRDefault="00E16C35">
      <w:r>
        <w:t>Ukupni prihodi škole za 2025. godinu iznose 1.009.235,73 eura a ukupni rashodi iznose 1.113.999,01 euro. Iz navedenog proizlazi manjak poslovanja od 104.763,28 eura. Budući da je preneseni višak iz 2024. godine 37.348,44 eura, ukupan manjak na kraju izvješ</w:t>
      </w:r>
      <w:r>
        <w:t>tajnog razdoblja iznosi 67.414,84 eura. </w:t>
      </w:r>
    </w:p>
    <w:p w:rsidR="007C21A7" w:rsidRDefault="007C21A7"/>
    <w:p w:rsidR="007C21A7" w:rsidRDefault="00E16C35">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96</w:t>
            </w:r>
          </w:p>
        </w:tc>
        <w:tc>
          <w:tcPr>
            <w:tcW w:w="3180" w:type="dxa"/>
            <w:tcMar>
              <w:top w:w="0" w:type="dxa"/>
              <w:bottom w:w="0" w:type="dxa"/>
            </w:tcMar>
            <w:vAlign w:val="center"/>
          </w:tcPr>
          <w:p w:rsidR="007C21A7" w:rsidRDefault="00E16C35">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rsidR="007C21A7" w:rsidRDefault="00E16C35">
            <w:pPr>
              <w:keepNext/>
              <w:keepLines/>
              <w:spacing w:after="0" w:line="240" w:lineRule="auto"/>
            </w:pPr>
            <w:r>
              <w:rPr>
                <w:sz w:val="18"/>
              </w:rPr>
              <w:t>96</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1860" w:type="dxa"/>
            <w:tcMar>
              <w:top w:w="0" w:type="dxa"/>
              <w:bottom w:w="0" w:type="dxa"/>
            </w:tcMar>
            <w:vAlign w:val="center"/>
          </w:tcPr>
          <w:p w:rsidR="007C21A7" w:rsidRDefault="00E16C35">
            <w:pPr>
              <w:keepNext/>
              <w:keepLines/>
              <w:spacing w:after="0" w:line="240" w:lineRule="auto"/>
              <w:jc w:val="right"/>
            </w:pPr>
            <w:r>
              <w:rPr>
                <w:sz w:val="18"/>
              </w:rPr>
              <w:t>79.477,13</w:t>
            </w:r>
          </w:p>
        </w:tc>
        <w:tc>
          <w:tcPr>
            <w:tcW w:w="700" w:type="dxa"/>
            <w:tcMar>
              <w:top w:w="0" w:type="dxa"/>
              <w:bottom w:w="0" w:type="dxa"/>
            </w:tcMar>
            <w:vAlign w:val="center"/>
          </w:tcPr>
          <w:p w:rsidR="007C21A7" w:rsidRDefault="00E16C35">
            <w:pPr>
              <w:keepNext/>
              <w:keepLines/>
              <w:spacing w:after="0" w:line="240" w:lineRule="auto"/>
              <w:jc w:val="right"/>
            </w:pPr>
            <w:r>
              <w:rPr>
                <w:sz w:val="18"/>
              </w:rPr>
              <w:t>-</w:t>
            </w:r>
          </w:p>
        </w:tc>
      </w:tr>
    </w:tbl>
    <w:p w:rsidR="007C21A7" w:rsidRDefault="007C21A7">
      <w:pPr>
        <w:spacing w:after="0"/>
      </w:pPr>
    </w:p>
    <w:p w:rsidR="007C21A7" w:rsidRDefault="00E16C35">
      <w:r>
        <w:t>Prema novom Pravilniku treba se osigurati paralelno knjiženje na način da svaki prihod koji se priznaje (osim prihoda od osnivača i prihoda od donacija) mora prethodno imati evidentirane obračunate prihode na 96. U tekućem izvještajnom razdoblju evidentira</w:t>
      </w:r>
      <w:r>
        <w:t>ni su obračunati prihodi za plaću i druga materijalna prava te ERASMUS+ projekt, čiji prihod će biti evidentiran u 2026. godini.</w:t>
      </w:r>
    </w:p>
    <w:p w:rsidR="007C21A7" w:rsidRDefault="007C21A7"/>
    <w:p w:rsidR="007C21A7" w:rsidRDefault="00E16C35">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991</w:t>
            </w:r>
          </w:p>
        </w:tc>
        <w:tc>
          <w:tcPr>
            <w:tcW w:w="3180" w:type="dxa"/>
            <w:tcMar>
              <w:top w:w="0" w:type="dxa"/>
              <w:bottom w:w="0" w:type="dxa"/>
            </w:tcMar>
            <w:vAlign w:val="center"/>
          </w:tcPr>
          <w:p w:rsidR="007C21A7" w:rsidRDefault="00E16C35">
            <w:pPr>
              <w:keepNext/>
              <w:keepLines/>
              <w:spacing w:after="0" w:line="240" w:lineRule="auto"/>
            </w:pPr>
            <w:proofErr w:type="spellStart"/>
            <w:r>
              <w:rPr>
                <w:sz w:val="18"/>
              </w:rPr>
              <w:t>Izvanbilančni</w:t>
            </w:r>
            <w:proofErr w:type="spellEnd"/>
            <w:r>
              <w:rPr>
                <w:sz w:val="18"/>
              </w:rPr>
              <w:t xml:space="preserve"> zapisi</w:t>
            </w:r>
            <w:r>
              <w:rPr>
                <w:sz w:val="18"/>
              </w:rPr>
              <w:t xml:space="preserve"> - aktiva (šifra 996)</w:t>
            </w:r>
          </w:p>
        </w:tc>
        <w:tc>
          <w:tcPr>
            <w:tcW w:w="700" w:type="dxa"/>
            <w:tcMar>
              <w:top w:w="0" w:type="dxa"/>
              <w:bottom w:w="0" w:type="dxa"/>
            </w:tcMar>
            <w:vAlign w:val="center"/>
          </w:tcPr>
          <w:p w:rsidR="007C21A7" w:rsidRDefault="00E16C35">
            <w:pPr>
              <w:keepNext/>
              <w:keepLines/>
              <w:spacing w:after="0" w:line="240" w:lineRule="auto"/>
            </w:pPr>
            <w:r>
              <w:rPr>
                <w:sz w:val="18"/>
              </w:rPr>
              <w:t>991</w:t>
            </w:r>
          </w:p>
        </w:tc>
        <w:tc>
          <w:tcPr>
            <w:tcW w:w="1860" w:type="dxa"/>
            <w:tcMar>
              <w:top w:w="0" w:type="dxa"/>
              <w:bottom w:w="0" w:type="dxa"/>
            </w:tcMar>
            <w:vAlign w:val="center"/>
          </w:tcPr>
          <w:p w:rsidR="007C21A7" w:rsidRDefault="00E16C35">
            <w:pPr>
              <w:keepNext/>
              <w:keepLines/>
              <w:spacing w:after="0" w:line="240" w:lineRule="auto"/>
              <w:jc w:val="right"/>
            </w:pPr>
            <w:r>
              <w:rPr>
                <w:sz w:val="18"/>
              </w:rPr>
              <w:t>4.017,39</w:t>
            </w:r>
          </w:p>
        </w:tc>
        <w:tc>
          <w:tcPr>
            <w:tcW w:w="1860" w:type="dxa"/>
            <w:tcMar>
              <w:top w:w="0" w:type="dxa"/>
              <w:bottom w:w="0" w:type="dxa"/>
            </w:tcMar>
            <w:vAlign w:val="center"/>
          </w:tcPr>
          <w:p w:rsidR="007C21A7" w:rsidRDefault="00E16C35">
            <w:pPr>
              <w:keepNext/>
              <w:keepLines/>
              <w:spacing w:after="0" w:line="240" w:lineRule="auto"/>
              <w:jc w:val="right"/>
            </w:pPr>
            <w:r>
              <w:rPr>
                <w:sz w:val="18"/>
              </w:rPr>
              <w:t>46.716,39</w:t>
            </w:r>
          </w:p>
        </w:tc>
        <w:tc>
          <w:tcPr>
            <w:tcW w:w="700" w:type="dxa"/>
            <w:tcMar>
              <w:top w:w="0" w:type="dxa"/>
              <w:bottom w:w="0" w:type="dxa"/>
            </w:tcMar>
            <w:vAlign w:val="center"/>
          </w:tcPr>
          <w:p w:rsidR="007C21A7" w:rsidRDefault="00E16C35">
            <w:pPr>
              <w:keepNext/>
              <w:keepLines/>
              <w:spacing w:after="0" w:line="240" w:lineRule="auto"/>
              <w:jc w:val="right"/>
            </w:pPr>
            <w:r>
              <w:rPr>
                <w:sz w:val="18"/>
              </w:rPr>
              <w:t>1162,9</w:t>
            </w:r>
          </w:p>
        </w:tc>
      </w:tr>
    </w:tbl>
    <w:p w:rsidR="007C21A7" w:rsidRDefault="007C21A7">
      <w:pPr>
        <w:spacing w:after="0"/>
      </w:pPr>
    </w:p>
    <w:p w:rsidR="007C21A7" w:rsidRDefault="00E16C35">
      <w:r>
        <w:t xml:space="preserve">U </w:t>
      </w:r>
      <w:proofErr w:type="spellStart"/>
      <w:r>
        <w:t>izvanbilančnim</w:t>
      </w:r>
      <w:proofErr w:type="spellEnd"/>
      <w:r>
        <w:t xml:space="preserve"> zapisima evidentirano je potraživanje po sklopljenom Ugovoru o dodijeljenim sredstvima EU fondova - ERASMUS+, druga godina akreditacije.</w:t>
      </w:r>
    </w:p>
    <w:p w:rsidR="007C21A7" w:rsidRDefault="007C21A7"/>
    <w:p w:rsidR="007C21A7" w:rsidRDefault="00E16C35">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996</w:t>
            </w:r>
          </w:p>
        </w:tc>
        <w:tc>
          <w:tcPr>
            <w:tcW w:w="3180" w:type="dxa"/>
            <w:tcMar>
              <w:top w:w="0" w:type="dxa"/>
              <w:bottom w:w="0" w:type="dxa"/>
            </w:tcMar>
            <w:vAlign w:val="center"/>
          </w:tcPr>
          <w:p w:rsidR="007C21A7" w:rsidRDefault="00E16C35">
            <w:pPr>
              <w:keepNext/>
              <w:keepLines/>
              <w:spacing w:after="0" w:line="240" w:lineRule="auto"/>
            </w:pPr>
            <w:proofErr w:type="spellStart"/>
            <w:r>
              <w:rPr>
                <w:sz w:val="18"/>
              </w:rPr>
              <w:t>Izvanbilančni</w:t>
            </w:r>
            <w:proofErr w:type="spellEnd"/>
            <w:r>
              <w:rPr>
                <w:sz w:val="18"/>
              </w:rPr>
              <w:t xml:space="preserve"> zapisi - pasiva</w:t>
            </w:r>
          </w:p>
        </w:tc>
        <w:tc>
          <w:tcPr>
            <w:tcW w:w="700" w:type="dxa"/>
            <w:tcMar>
              <w:top w:w="0" w:type="dxa"/>
              <w:bottom w:w="0" w:type="dxa"/>
            </w:tcMar>
            <w:vAlign w:val="center"/>
          </w:tcPr>
          <w:p w:rsidR="007C21A7" w:rsidRDefault="00E16C35">
            <w:pPr>
              <w:keepNext/>
              <w:keepLines/>
              <w:spacing w:after="0" w:line="240" w:lineRule="auto"/>
            </w:pPr>
            <w:r>
              <w:rPr>
                <w:sz w:val="18"/>
              </w:rPr>
              <w:t>996</w:t>
            </w:r>
          </w:p>
        </w:tc>
        <w:tc>
          <w:tcPr>
            <w:tcW w:w="1860" w:type="dxa"/>
            <w:tcMar>
              <w:top w:w="0" w:type="dxa"/>
              <w:bottom w:w="0" w:type="dxa"/>
            </w:tcMar>
            <w:vAlign w:val="center"/>
          </w:tcPr>
          <w:p w:rsidR="007C21A7" w:rsidRDefault="00E16C35">
            <w:pPr>
              <w:keepNext/>
              <w:keepLines/>
              <w:spacing w:after="0" w:line="240" w:lineRule="auto"/>
              <w:jc w:val="right"/>
            </w:pPr>
            <w:r>
              <w:rPr>
                <w:sz w:val="18"/>
              </w:rPr>
              <w:t>4.017,39</w:t>
            </w:r>
          </w:p>
        </w:tc>
        <w:tc>
          <w:tcPr>
            <w:tcW w:w="1860" w:type="dxa"/>
            <w:tcMar>
              <w:top w:w="0" w:type="dxa"/>
              <w:bottom w:w="0" w:type="dxa"/>
            </w:tcMar>
            <w:vAlign w:val="center"/>
          </w:tcPr>
          <w:p w:rsidR="007C21A7" w:rsidRDefault="00E16C35">
            <w:pPr>
              <w:keepNext/>
              <w:keepLines/>
              <w:spacing w:after="0" w:line="240" w:lineRule="auto"/>
              <w:jc w:val="right"/>
            </w:pPr>
            <w:r>
              <w:rPr>
                <w:sz w:val="18"/>
              </w:rPr>
              <w:t>46.716,39</w:t>
            </w:r>
          </w:p>
        </w:tc>
        <w:tc>
          <w:tcPr>
            <w:tcW w:w="700" w:type="dxa"/>
            <w:tcMar>
              <w:top w:w="0" w:type="dxa"/>
              <w:bottom w:w="0" w:type="dxa"/>
            </w:tcMar>
            <w:vAlign w:val="center"/>
          </w:tcPr>
          <w:p w:rsidR="007C21A7" w:rsidRDefault="00E16C35">
            <w:pPr>
              <w:keepNext/>
              <w:keepLines/>
              <w:spacing w:after="0" w:line="240" w:lineRule="auto"/>
              <w:jc w:val="right"/>
            </w:pPr>
            <w:r>
              <w:rPr>
                <w:sz w:val="18"/>
              </w:rPr>
              <w:t>1162,9</w:t>
            </w:r>
          </w:p>
        </w:tc>
      </w:tr>
    </w:tbl>
    <w:p w:rsidR="007C21A7" w:rsidRDefault="007C21A7">
      <w:pPr>
        <w:spacing w:after="0"/>
      </w:pPr>
    </w:p>
    <w:p w:rsidR="007C21A7" w:rsidRDefault="00E16C35">
      <w:r>
        <w:t xml:space="preserve">U </w:t>
      </w:r>
      <w:proofErr w:type="spellStart"/>
      <w:r>
        <w:t>izvanbilančnim</w:t>
      </w:r>
      <w:proofErr w:type="spellEnd"/>
      <w:r>
        <w:t xml:space="preserve"> zapisima evidentirano je potraživanje po sklopljenom Ugovoru o dodijeljenim sredstvima EU fondova - ERASMUS+, druga godina akreditacije.</w:t>
      </w:r>
    </w:p>
    <w:p w:rsidR="007C21A7" w:rsidRDefault="007C21A7"/>
    <w:p w:rsidR="007C21A7" w:rsidRDefault="00E16C35">
      <w:pPr>
        <w:keepNext/>
        <w:spacing w:line="240" w:lineRule="auto"/>
        <w:jc w:val="center"/>
      </w:pPr>
      <w:r>
        <w:rPr>
          <w:b/>
          <w:sz w:val="28"/>
        </w:rPr>
        <w:t>Izvještaj o rashodima prema funkcijskoj klasifikaciji</w:t>
      </w:r>
    </w:p>
    <w:p w:rsidR="007C21A7" w:rsidRDefault="00E16C35">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w:t>
            </w:r>
            <w:r>
              <w:rPr>
                <w:b/>
                <w:sz w:val="18"/>
              </w:rPr>
              <w:t>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09</w:t>
            </w:r>
          </w:p>
        </w:tc>
        <w:tc>
          <w:tcPr>
            <w:tcW w:w="3180" w:type="dxa"/>
            <w:tcMar>
              <w:top w:w="0" w:type="dxa"/>
              <w:bottom w:w="0" w:type="dxa"/>
            </w:tcMar>
            <w:vAlign w:val="center"/>
          </w:tcPr>
          <w:p w:rsidR="007C21A7" w:rsidRDefault="00E16C35">
            <w:pPr>
              <w:keepNext/>
              <w:keepLines/>
              <w:spacing w:after="0" w:line="240" w:lineRule="auto"/>
            </w:pPr>
            <w:r>
              <w:rPr>
                <w:sz w:val="18"/>
              </w:rPr>
              <w:t>Obrazovanje (šifre 091+092+093+094+095+096+097+098)</w:t>
            </w:r>
          </w:p>
        </w:tc>
        <w:tc>
          <w:tcPr>
            <w:tcW w:w="700" w:type="dxa"/>
            <w:tcMar>
              <w:top w:w="0" w:type="dxa"/>
              <w:bottom w:w="0" w:type="dxa"/>
            </w:tcMar>
            <w:vAlign w:val="center"/>
          </w:tcPr>
          <w:p w:rsidR="007C21A7" w:rsidRDefault="00E16C35">
            <w:pPr>
              <w:keepNext/>
              <w:keepLines/>
              <w:spacing w:after="0" w:line="240" w:lineRule="auto"/>
            </w:pPr>
            <w:r>
              <w:rPr>
                <w:sz w:val="18"/>
              </w:rPr>
              <w:t>09</w:t>
            </w:r>
          </w:p>
        </w:tc>
        <w:tc>
          <w:tcPr>
            <w:tcW w:w="1860" w:type="dxa"/>
            <w:tcMar>
              <w:top w:w="0" w:type="dxa"/>
              <w:bottom w:w="0" w:type="dxa"/>
            </w:tcMar>
            <w:vAlign w:val="center"/>
          </w:tcPr>
          <w:p w:rsidR="007C21A7" w:rsidRDefault="00E16C35">
            <w:pPr>
              <w:keepNext/>
              <w:keepLines/>
              <w:spacing w:after="0" w:line="240" w:lineRule="auto"/>
              <w:jc w:val="right"/>
            </w:pPr>
            <w:r>
              <w:rPr>
                <w:sz w:val="18"/>
              </w:rPr>
              <w:t>929.885,75</w:t>
            </w:r>
          </w:p>
        </w:tc>
        <w:tc>
          <w:tcPr>
            <w:tcW w:w="1860" w:type="dxa"/>
            <w:tcMar>
              <w:top w:w="0" w:type="dxa"/>
              <w:bottom w:w="0" w:type="dxa"/>
            </w:tcMar>
            <w:vAlign w:val="center"/>
          </w:tcPr>
          <w:p w:rsidR="007C21A7" w:rsidRDefault="00E16C35">
            <w:pPr>
              <w:keepNext/>
              <w:keepLines/>
              <w:spacing w:after="0" w:line="240" w:lineRule="auto"/>
              <w:jc w:val="right"/>
            </w:pPr>
            <w:r>
              <w:rPr>
                <w:sz w:val="18"/>
              </w:rPr>
              <w:t>1.113.999,01</w:t>
            </w:r>
          </w:p>
        </w:tc>
        <w:tc>
          <w:tcPr>
            <w:tcW w:w="700" w:type="dxa"/>
            <w:tcMar>
              <w:top w:w="0" w:type="dxa"/>
              <w:bottom w:w="0" w:type="dxa"/>
            </w:tcMar>
            <w:vAlign w:val="center"/>
          </w:tcPr>
          <w:p w:rsidR="007C21A7" w:rsidRDefault="00E16C35">
            <w:pPr>
              <w:keepNext/>
              <w:keepLines/>
              <w:spacing w:after="0" w:line="240" w:lineRule="auto"/>
              <w:jc w:val="right"/>
            </w:pPr>
            <w:r>
              <w:rPr>
                <w:sz w:val="18"/>
              </w:rPr>
              <w:t>119,8</w:t>
            </w:r>
          </w:p>
        </w:tc>
      </w:tr>
    </w:tbl>
    <w:p w:rsidR="007C21A7" w:rsidRDefault="007C21A7">
      <w:pPr>
        <w:spacing w:after="0"/>
      </w:pPr>
    </w:p>
    <w:p w:rsidR="007C21A7" w:rsidRDefault="00E16C35">
      <w:r>
        <w:t>Rashode povezane uz obrazovanje škola prikazuje na funkciji 0912 Osnovno obrazovanje, dok se troškovi prehrane djece iskazuju u okviru funkcije 096 Dodatne usluge u obrazovanju.</w:t>
      </w:r>
    </w:p>
    <w:p w:rsidR="007C21A7" w:rsidRDefault="007C21A7"/>
    <w:p w:rsidR="007C21A7" w:rsidRDefault="00E16C35">
      <w:pPr>
        <w:keepNext/>
        <w:spacing w:line="240" w:lineRule="auto"/>
        <w:jc w:val="center"/>
      </w:pPr>
      <w:r>
        <w:rPr>
          <w:b/>
          <w:sz w:val="28"/>
        </w:rPr>
        <w:t>Promjene u vrijednosti i obujmu imovine i obveza</w:t>
      </w:r>
    </w:p>
    <w:p w:rsidR="007C21A7" w:rsidRDefault="00E16C35">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w:t>
            </w:r>
            <w:r>
              <w:rPr>
                <w:b/>
                <w:sz w:val="18"/>
              </w:rPr>
              <w:t>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E16C35">
            <w:pPr>
              <w:keepNext/>
              <w:keepLines/>
              <w:spacing w:after="0" w:line="240" w:lineRule="auto"/>
            </w:pPr>
            <w:r>
              <w:rPr>
                <w:sz w:val="18"/>
              </w:rPr>
              <w:t>9151</w:t>
            </w:r>
          </w:p>
        </w:tc>
        <w:tc>
          <w:tcPr>
            <w:tcW w:w="3180" w:type="dxa"/>
            <w:tcMar>
              <w:top w:w="0" w:type="dxa"/>
              <w:bottom w:w="0" w:type="dxa"/>
            </w:tcMar>
            <w:vAlign w:val="center"/>
          </w:tcPr>
          <w:p w:rsidR="007C21A7" w:rsidRDefault="00E16C35">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rsidR="007C21A7" w:rsidRDefault="00E16C35">
            <w:pPr>
              <w:keepNext/>
              <w:keepLines/>
              <w:spacing w:after="0" w:line="240" w:lineRule="auto"/>
            </w:pPr>
            <w:r>
              <w:rPr>
                <w:sz w:val="18"/>
              </w:rPr>
              <w:t>9151</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1860" w:type="dxa"/>
            <w:tcMar>
              <w:top w:w="0" w:type="dxa"/>
              <w:bottom w:w="0" w:type="dxa"/>
            </w:tcMar>
            <w:vAlign w:val="center"/>
          </w:tcPr>
          <w:p w:rsidR="007C21A7" w:rsidRDefault="00E16C35">
            <w:pPr>
              <w:keepNext/>
              <w:keepLines/>
              <w:spacing w:after="0" w:line="240" w:lineRule="auto"/>
              <w:jc w:val="right"/>
            </w:pPr>
            <w:r>
              <w:rPr>
                <w:sz w:val="18"/>
              </w:rPr>
              <w:t>38.411,71</w:t>
            </w:r>
          </w:p>
        </w:tc>
        <w:tc>
          <w:tcPr>
            <w:tcW w:w="700" w:type="dxa"/>
            <w:tcMar>
              <w:top w:w="0" w:type="dxa"/>
              <w:bottom w:w="0" w:type="dxa"/>
            </w:tcMar>
            <w:vAlign w:val="center"/>
          </w:tcPr>
          <w:p w:rsidR="007C21A7" w:rsidRDefault="00E16C35">
            <w:pPr>
              <w:keepNext/>
              <w:keepLines/>
              <w:spacing w:after="0" w:line="240" w:lineRule="auto"/>
              <w:jc w:val="right"/>
            </w:pPr>
            <w:r>
              <w:rPr>
                <w:sz w:val="18"/>
              </w:rPr>
              <w:t>-</w:t>
            </w:r>
          </w:p>
        </w:tc>
      </w:tr>
    </w:tbl>
    <w:p w:rsidR="007C21A7" w:rsidRDefault="007C21A7">
      <w:pPr>
        <w:spacing w:after="0"/>
      </w:pPr>
    </w:p>
    <w:p w:rsidR="007C21A7" w:rsidRDefault="00E16C35">
      <w:r>
        <w:t xml:space="preserve">Pravilnikom o proračunskom računovodstvu i Računskom planu (članak 192. stavak 6) od 1. siječnja 2025. godine u poslovnim knjigama evidentira se prijenos ili </w:t>
      </w:r>
      <w:proofErr w:type="spellStart"/>
      <w:r>
        <w:t>isknjiženje</w:t>
      </w:r>
      <w:proofErr w:type="spellEnd"/>
      <w:r>
        <w:t xml:space="preserve"> posredstvom podskupine 915 Promjene u vrijednosti i obujmu imovine i obveza na način d</w:t>
      </w:r>
      <w:r>
        <w:t xml:space="preserve">a se u okviru navedene skupine evidentira </w:t>
      </w:r>
      <w:proofErr w:type="spellStart"/>
      <w:r>
        <w:t>isknjiženje</w:t>
      </w:r>
      <w:proofErr w:type="spellEnd"/>
      <w:r>
        <w:t xml:space="preserve"> ili prijenos nabavne vrijednosti, ispravka vrijednosti i sadašnje vrijednosti imovine. U obrascu P-VRIO iskazan je podatak o prenesenoj sadašnjoj vrijednosti imovine odnosno stvarno smanjenje obujma imo</w:t>
      </w:r>
      <w:r>
        <w:t>vine u iznosu od 38.411,71 euro.</w:t>
      </w:r>
    </w:p>
    <w:p w:rsidR="007C21A7" w:rsidRDefault="007C21A7"/>
    <w:p w:rsidR="007C21A7" w:rsidRDefault="00E16C35">
      <w:pPr>
        <w:keepNext/>
        <w:spacing w:line="240" w:lineRule="auto"/>
        <w:jc w:val="center"/>
      </w:pPr>
      <w:r>
        <w:rPr>
          <w:b/>
          <w:sz w:val="28"/>
        </w:rPr>
        <w:t>Izvještaj o obvezama</w:t>
      </w:r>
    </w:p>
    <w:p w:rsidR="007C21A7" w:rsidRDefault="00E16C35">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7C21A7">
        <w:tblPrEx>
          <w:tblCellMar>
            <w:top w:w="0" w:type="dxa"/>
            <w:bottom w:w="0" w:type="dxa"/>
          </w:tblCellMar>
        </w:tblPrEx>
        <w:trPr>
          <w:cantSplit/>
        </w:trPr>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7C21A7" w:rsidRDefault="00E16C35">
            <w:pPr>
              <w:keepNext/>
              <w:keepLines/>
              <w:spacing w:after="0" w:line="240" w:lineRule="auto"/>
              <w:jc w:val="center"/>
            </w:pPr>
            <w:r>
              <w:rPr>
                <w:b/>
                <w:sz w:val="18"/>
              </w:rPr>
              <w:t>Indeks (%)</w:t>
            </w:r>
          </w:p>
        </w:tc>
      </w:tr>
      <w:tr w:rsidR="007C21A7">
        <w:tblPrEx>
          <w:tblCellMar>
            <w:top w:w="0" w:type="dxa"/>
            <w:bottom w:w="0" w:type="dxa"/>
          </w:tblCellMar>
        </w:tblPrEx>
        <w:trPr>
          <w:cantSplit/>
          <w:trHeight w:val="560"/>
        </w:trPr>
        <w:tc>
          <w:tcPr>
            <w:tcW w:w="700" w:type="dxa"/>
            <w:tcMar>
              <w:top w:w="0" w:type="dxa"/>
              <w:bottom w:w="0" w:type="dxa"/>
            </w:tcMar>
            <w:vAlign w:val="center"/>
          </w:tcPr>
          <w:p w:rsidR="007C21A7" w:rsidRDefault="007C21A7">
            <w:pPr>
              <w:keepNext/>
              <w:keepLines/>
              <w:spacing w:after="0" w:line="240" w:lineRule="auto"/>
            </w:pPr>
          </w:p>
        </w:tc>
        <w:tc>
          <w:tcPr>
            <w:tcW w:w="3180" w:type="dxa"/>
            <w:tcMar>
              <w:top w:w="0" w:type="dxa"/>
              <w:bottom w:w="0" w:type="dxa"/>
            </w:tcMar>
            <w:vAlign w:val="center"/>
          </w:tcPr>
          <w:p w:rsidR="007C21A7" w:rsidRDefault="00E16C35">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7C21A7" w:rsidRDefault="00E16C35">
            <w:pPr>
              <w:keepNext/>
              <w:keepLines/>
              <w:spacing w:after="0" w:line="240" w:lineRule="auto"/>
            </w:pPr>
            <w:r>
              <w:rPr>
                <w:sz w:val="18"/>
              </w:rPr>
              <w:t>V007</w:t>
            </w:r>
          </w:p>
        </w:tc>
        <w:tc>
          <w:tcPr>
            <w:tcW w:w="1860" w:type="dxa"/>
            <w:tcMar>
              <w:top w:w="0" w:type="dxa"/>
              <w:bottom w:w="0" w:type="dxa"/>
            </w:tcMar>
            <w:vAlign w:val="center"/>
          </w:tcPr>
          <w:p w:rsidR="007C21A7" w:rsidRDefault="00E16C35">
            <w:pPr>
              <w:keepNext/>
              <w:keepLines/>
              <w:spacing w:after="0" w:line="240" w:lineRule="auto"/>
              <w:jc w:val="right"/>
            </w:pPr>
            <w:r>
              <w:rPr>
                <w:sz w:val="18"/>
              </w:rPr>
              <w:t>0,00</w:t>
            </w:r>
          </w:p>
        </w:tc>
        <w:tc>
          <w:tcPr>
            <w:tcW w:w="700" w:type="dxa"/>
            <w:tcMar>
              <w:top w:w="0" w:type="dxa"/>
              <w:bottom w:w="0" w:type="dxa"/>
            </w:tcMar>
            <w:vAlign w:val="center"/>
          </w:tcPr>
          <w:p w:rsidR="007C21A7" w:rsidRDefault="00E16C35">
            <w:pPr>
              <w:keepNext/>
              <w:keepLines/>
              <w:spacing w:after="0" w:line="240" w:lineRule="auto"/>
              <w:jc w:val="right"/>
            </w:pPr>
            <w:r>
              <w:rPr>
                <w:sz w:val="18"/>
              </w:rPr>
              <w:t>-</w:t>
            </w:r>
          </w:p>
        </w:tc>
      </w:tr>
    </w:tbl>
    <w:p w:rsidR="007C21A7" w:rsidRDefault="007C21A7">
      <w:pPr>
        <w:spacing w:after="0"/>
      </w:pPr>
    </w:p>
    <w:p w:rsidR="007C21A7" w:rsidRDefault="00E16C35">
      <w:r>
        <w:t>Škola nema dospjelih obveza na kraju izvještajnog razdoblja budući da su podmirene sve obveze koje su imale valutu plaćanja u promatranom izvještajnom razdoblju, točnije u razdoblju od 01.01.2025. godine do 31.12.2025. godine.</w:t>
      </w:r>
    </w:p>
    <w:p w:rsidR="007C21A7" w:rsidRDefault="007C21A7"/>
    <w:p w:rsidR="00E16C35" w:rsidRDefault="00E16C35">
      <w:bookmarkStart w:id="0" w:name="_GoBack"/>
      <w:bookmarkEnd w:id="0"/>
    </w:p>
    <w:p w:rsidR="007C21A7" w:rsidRDefault="00E16C35">
      <w:pPr>
        <w:keepNext/>
        <w:spacing w:line="240" w:lineRule="auto"/>
        <w:jc w:val="center"/>
      </w:pPr>
      <w:r>
        <w:rPr>
          <w:sz w:val="28"/>
        </w:rPr>
        <w:lastRenderedPageBreak/>
        <w:t>Bilješka 18.</w:t>
      </w:r>
    </w:p>
    <w:p w:rsidR="007C21A7" w:rsidRDefault="00E16C35">
      <w:pPr>
        <w:spacing w:line="240" w:lineRule="auto"/>
        <w:jc w:val="both"/>
      </w:pPr>
      <w:r>
        <w:rPr>
          <w:b/>
        </w:rPr>
        <w:t>EU izvještaj</w:t>
      </w:r>
    </w:p>
    <w:p w:rsidR="007C21A7" w:rsidRDefault="00E16C35">
      <w:r>
        <w:t>20</w:t>
      </w:r>
      <w:r>
        <w:t>23. godine škola ulazi u prvu godinu ERASMUS+ projekta 2023-1-HR01-KA121-SCH-000125385. Tijekom 2023. i 2024. godine prihod od dobivenih 80% ugovorenih sredstava utrošen je kroz razne mobilnosti. Zbog određenih komplikacija oko realizacije projekta, on ula</w:t>
      </w:r>
      <w:r>
        <w:t>zi u produžetak prve godine projekta, pa su sredstva po podnesenom Završnom izvješću u iznosu od 9.754,00 eura primljena u promatranom izvještajnom razdoblju, tj. tijekom 2025. godine. Određeni iznos dobivenih sredstava utrošen je tijekom 2025. godine. </w:t>
      </w:r>
    </w:p>
    <w:p w:rsidR="007C21A7" w:rsidRDefault="00E16C35">
      <w:r>
        <w:t>Is</w:t>
      </w:r>
      <w:r>
        <w:t xml:space="preserve">te te 2025. godine škola ulazi u drugu godinu ERASMUS+ projekta 2025-1-HR01-KA121-SCH-000313784. Ukupno ugovorena potraživanja za dodjelu bespovratnih sredstava u iznosu od 42.699,00 eura knjižena su na kontima </w:t>
      </w:r>
      <w:proofErr w:type="spellStart"/>
      <w:r>
        <w:t>izvanbilančne</w:t>
      </w:r>
      <w:proofErr w:type="spellEnd"/>
      <w:r>
        <w:t xml:space="preserve"> evidencije 991/996. U trenutku </w:t>
      </w:r>
      <w:r>
        <w:t>zaprimanja predujma od AMPEE u iznosu od 34.159,20 eura, ne priznaje se prihod već se evidentira na obvezi za EU predujmove dane iz državnog proračuna na osnovnom računu 27521. Kroz ERASMUS+ mobilnost učenika u Sloveniju zadužena su i u trenutku plaćanja o</w:t>
      </w:r>
      <w:r>
        <w:t>dobrena određena konta rashoda. U visini nastalih rashoda na kraju izvještajnog razdoblja zadužen je račun 16381 Potraživanja za tekuće pomoći iz državnog proračuna temeljem prijenosa EU sredstava i odobrenjem računa 96381 Tekuće pomoći iz državnog proraču</w:t>
      </w:r>
      <w:r>
        <w:t>na temeljem prijenosa EU sredstava .</w:t>
      </w:r>
    </w:p>
    <w:p w:rsidR="007C21A7" w:rsidRDefault="007C21A7"/>
    <w:sectPr w:rsidR="007C21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7C21A7"/>
    <w:rsid w:val="007C21A7"/>
    <w:rsid w:val="00E16C3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430B"/>
  <w15:docId w15:val="{4EA1053D-1097-41A3-A382-71902C27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1851</Words>
  <Characters>10555</Characters>
  <Application>Microsoft Office Word</Application>
  <DocSecurity>0</DocSecurity>
  <Lines>87</Lines>
  <Paragraphs>24</Paragraphs>
  <ScaleCrop>false</ScaleCrop>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Marija Trbljanić</cp:lastModifiedBy>
  <cp:revision>2</cp:revision>
  <dcterms:created xsi:type="dcterms:W3CDTF">2026-02-02T13:49:00Z</dcterms:created>
  <dcterms:modified xsi:type="dcterms:W3CDTF">2026-02-02T13:49:00Z</dcterms:modified>
</cp:coreProperties>
</file>